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1158CF" w14:textId="71A87995" w:rsidR="00BD667F" w:rsidRPr="0076266E" w:rsidRDefault="00BD667F" w:rsidP="00BD667F">
      <w:pPr>
        <w:tabs>
          <w:tab w:val="center" w:pos="4536"/>
          <w:tab w:val="right" w:pos="9356"/>
          <w:tab w:val="right" w:pos="9639"/>
        </w:tabs>
        <w:spacing w:after="0"/>
        <w:rPr>
          <w:rFonts w:ascii="Arial" w:hAnsi="Arial" w:cs="Arial"/>
          <w:b/>
          <w:bCs/>
          <w:sz w:val="24"/>
        </w:rPr>
      </w:pPr>
      <w:bookmarkStart w:id="0" w:name="_GoBack"/>
      <w:bookmarkEnd w:id="0"/>
      <w:r w:rsidRPr="0076266E">
        <w:rPr>
          <w:rFonts w:ascii="Arial" w:hAnsi="Arial" w:cs="Arial"/>
          <w:b/>
          <w:bCs/>
          <w:sz w:val="24"/>
        </w:rPr>
        <w:t>3GPP TSG RAN WG1 Meeting 90bis</w:t>
      </w:r>
      <w:r w:rsidRPr="0076266E">
        <w:rPr>
          <w:rFonts w:ascii="Arial" w:eastAsia="MS Mincho" w:hAnsi="Arial" w:cs="Arial"/>
          <w:b/>
          <w:bCs/>
          <w:sz w:val="24"/>
        </w:rPr>
        <w:tab/>
      </w:r>
      <w:r w:rsidRPr="0076266E">
        <w:rPr>
          <w:rFonts w:ascii="Arial" w:hAnsi="Arial" w:cs="Arial"/>
          <w:b/>
          <w:bCs/>
          <w:sz w:val="24"/>
        </w:rPr>
        <w:t xml:space="preserve">           </w:t>
      </w:r>
      <w:r>
        <w:rPr>
          <w:rFonts w:ascii="Arial" w:hAnsi="Arial" w:cs="Arial"/>
          <w:b/>
          <w:bCs/>
          <w:sz w:val="24"/>
        </w:rPr>
        <w:tab/>
      </w:r>
      <w:r w:rsidRPr="0076266E">
        <w:rPr>
          <w:rFonts w:ascii="Arial" w:hAnsi="Arial" w:cs="Arial"/>
          <w:b/>
          <w:bCs/>
          <w:sz w:val="24"/>
        </w:rPr>
        <w:t>R1-1</w:t>
      </w:r>
      <w:r w:rsidRPr="0076266E">
        <w:rPr>
          <w:rFonts w:ascii="Arial" w:eastAsia="MS Mincho" w:hAnsi="Arial" w:cs="Arial"/>
          <w:b/>
          <w:bCs/>
          <w:sz w:val="24"/>
        </w:rPr>
        <w:t>7</w:t>
      </w:r>
      <w:r w:rsidR="00EC405E">
        <w:rPr>
          <w:rFonts w:ascii="Arial" w:eastAsia="MS Mincho" w:hAnsi="Arial" w:cs="Arial"/>
          <w:b/>
          <w:bCs/>
          <w:sz w:val="24"/>
        </w:rPr>
        <w:t>18624</w:t>
      </w:r>
    </w:p>
    <w:p w14:paraId="7588DD54" w14:textId="77777777" w:rsidR="00BD667F" w:rsidRPr="0076266E" w:rsidRDefault="00BD667F" w:rsidP="00BD667F">
      <w:pPr>
        <w:tabs>
          <w:tab w:val="center" w:pos="4536"/>
          <w:tab w:val="right" w:pos="9072"/>
        </w:tabs>
        <w:rPr>
          <w:rFonts w:ascii="Arial" w:eastAsia="MS Mincho" w:hAnsi="Arial" w:cs="Arial"/>
          <w:b/>
          <w:bCs/>
          <w:sz w:val="24"/>
        </w:rPr>
      </w:pPr>
      <w:r w:rsidRPr="0076266E">
        <w:rPr>
          <w:rFonts w:ascii="Arial" w:eastAsia="MS Mincho" w:hAnsi="Arial" w:cs="Arial"/>
          <w:b/>
          <w:bCs/>
          <w:sz w:val="24"/>
        </w:rPr>
        <w:t>Prague, CZ, 9</w:t>
      </w:r>
      <w:r w:rsidRPr="0076266E">
        <w:rPr>
          <w:rFonts w:ascii="Arial" w:eastAsia="MS Mincho" w:hAnsi="Arial" w:cs="Arial"/>
          <w:b/>
          <w:bCs/>
          <w:sz w:val="24"/>
          <w:vertAlign w:val="superscript"/>
        </w:rPr>
        <w:t>th</w:t>
      </w:r>
      <w:r w:rsidRPr="0076266E">
        <w:rPr>
          <w:rFonts w:ascii="Arial" w:eastAsia="MS Mincho" w:hAnsi="Arial" w:cs="Arial"/>
          <w:b/>
          <w:bCs/>
          <w:sz w:val="24"/>
        </w:rPr>
        <w:t xml:space="preserve"> – 13</w:t>
      </w:r>
      <w:r w:rsidRPr="0076266E">
        <w:rPr>
          <w:rFonts w:ascii="Arial" w:eastAsia="MS Mincho" w:hAnsi="Arial" w:cs="Arial"/>
          <w:b/>
          <w:bCs/>
          <w:sz w:val="24"/>
          <w:vertAlign w:val="superscript"/>
        </w:rPr>
        <w:t>th</w:t>
      </w:r>
      <w:r w:rsidRPr="0076266E">
        <w:rPr>
          <w:rFonts w:ascii="Arial" w:eastAsia="MS Mincho" w:hAnsi="Arial" w:cs="Arial"/>
          <w:b/>
          <w:bCs/>
          <w:sz w:val="24"/>
        </w:rPr>
        <w:t xml:space="preserve">, </w:t>
      </w:r>
      <w:r w:rsidRPr="0076266E">
        <w:rPr>
          <w:rFonts w:ascii="Arial" w:hAnsi="Arial" w:cs="Arial"/>
          <w:b/>
          <w:bCs/>
          <w:sz w:val="24"/>
        </w:rPr>
        <w:t>October 201</w:t>
      </w:r>
      <w:r w:rsidRPr="0076266E">
        <w:rPr>
          <w:rFonts w:ascii="Arial" w:eastAsia="MS Mincho" w:hAnsi="Arial" w:cs="Arial"/>
          <w:b/>
          <w:bCs/>
          <w:sz w:val="24"/>
        </w:rPr>
        <w:t>7</w:t>
      </w:r>
    </w:p>
    <w:p w14:paraId="1E9FE172" w14:textId="77777777" w:rsidR="00BD667F" w:rsidRPr="0016316A" w:rsidRDefault="00BD667F" w:rsidP="00BD667F">
      <w:pPr>
        <w:pStyle w:val="Header"/>
        <w:rPr>
          <w:bCs/>
          <w:noProof w:val="0"/>
          <w:sz w:val="24"/>
        </w:rPr>
      </w:pPr>
    </w:p>
    <w:p w14:paraId="575CA916" w14:textId="4C5D8013" w:rsidR="00EF40B7" w:rsidRPr="007B7496" w:rsidRDefault="00EF40B7" w:rsidP="00EF40B7">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BD667F">
        <w:rPr>
          <w:rFonts w:cs="Arial"/>
          <w:b/>
          <w:bCs/>
          <w:sz w:val="24"/>
        </w:rPr>
        <w:t>7</w:t>
      </w:r>
      <w:r>
        <w:rPr>
          <w:rFonts w:cs="Arial"/>
          <w:b/>
          <w:bCs/>
          <w:sz w:val="24"/>
        </w:rPr>
        <w:t>.3.3.5</w:t>
      </w:r>
    </w:p>
    <w:p w14:paraId="18CF9E04" w14:textId="77777777" w:rsidR="00EF40B7" w:rsidRPr="00F174DB" w:rsidRDefault="00EF40B7" w:rsidP="00EF40B7">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r w:rsidRPr="00F174DB">
        <w:rPr>
          <w:rFonts w:ascii="Arial" w:hAnsi="Arial" w:cs="Arial"/>
          <w:b/>
          <w:bCs/>
          <w:sz w:val="24"/>
        </w:rPr>
        <w:t>N</w:t>
      </w:r>
      <w:r>
        <w:rPr>
          <w:rFonts w:ascii="Arial" w:hAnsi="Arial" w:cs="Arial"/>
          <w:b/>
          <w:bCs/>
          <w:sz w:val="24"/>
        </w:rPr>
        <w:t xml:space="preserve">okia, Nokia Shanghai Bell </w:t>
      </w:r>
    </w:p>
    <w:p w14:paraId="6FEDBDF1" w14:textId="5A0DDB88" w:rsidR="00EF40B7" w:rsidRPr="0016316A" w:rsidRDefault="00EF40B7" w:rsidP="00EF40B7">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Pr="00DA3B87">
        <w:rPr>
          <w:rFonts w:ascii="Arial" w:hAnsi="Arial" w:cs="Arial"/>
          <w:b/>
          <w:bCs/>
          <w:sz w:val="24"/>
        </w:rPr>
        <w:t xml:space="preserve">On the </w:t>
      </w:r>
      <w:r>
        <w:rPr>
          <w:rFonts w:ascii="Arial" w:hAnsi="Arial" w:cs="Arial"/>
          <w:b/>
          <w:bCs/>
          <w:sz w:val="24"/>
        </w:rPr>
        <w:t>HARQ soft buffer handling</w:t>
      </w:r>
    </w:p>
    <w:p w14:paraId="0E9CB320" w14:textId="77777777" w:rsidR="00EF40B7" w:rsidRPr="007B7496" w:rsidRDefault="00EF40B7" w:rsidP="00EF40B7">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6F6A7823" w14:textId="77777777" w:rsidR="0034111C" w:rsidRPr="0016316A" w:rsidRDefault="0034111C">
      <w:pPr>
        <w:pStyle w:val="Heading1"/>
      </w:pPr>
      <w:r w:rsidRPr="0016316A">
        <w:t>1</w:t>
      </w:r>
      <w:r w:rsidRPr="0016316A">
        <w:tab/>
      </w:r>
      <w:r w:rsidR="00EE7FA7" w:rsidRPr="0016316A">
        <w:t>Introduction</w:t>
      </w:r>
    </w:p>
    <w:p w14:paraId="4309A8FC" w14:textId="767E0E68" w:rsidR="00E27749" w:rsidRDefault="00A142A2" w:rsidP="005A2E77">
      <w:pPr>
        <w:spacing w:after="120"/>
        <w:jc w:val="both"/>
        <w:rPr>
          <w:bCs/>
        </w:rPr>
      </w:pPr>
      <w:r>
        <w:rPr>
          <w:bCs/>
        </w:rPr>
        <w:t>This contribution relates to the</w:t>
      </w:r>
      <w:r w:rsidR="00913AC1">
        <w:rPr>
          <w:bCs/>
        </w:rPr>
        <w:t xml:space="preserve"> </w:t>
      </w:r>
      <w:r w:rsidR="00DA3B87">
        <w:rPr>
          <w:bCs/>
        </w:rPr>
        <w:t>number of HARQ processes and the related soft buffer consideration</w:t>
      </w:r>
      <w:r w:rsidR="00CD464F">
        <w:rPr>
          <w:bCs/>
        </w:rPr>
        <w:t>.</w:t>
      </w:r>
      <w:r w:rsidR="005A2E77">
        <w:rPr>
          <w:bCs/>
        </w:rPr>
        <w:t xml:space="preserve"> </w:t>
      </w:r>
      <w:r w:rsidR="00E27749">
        <w:rPr>
          <w:bCs/>
        </w:rPr>
        <w:t xml:space="preserve">The following agreements </w:t>
      </w:r>
      <w:r w:rsidR="00CD464F">
        <w:rPr>
          <w:bCs/>
        </w:rPr>
        <w:t>have been</w:t>
      </w:r>
      <w:r w:rsidR="00E27749">
        <w:rPr>
          <w:bCs/>
        </w:rPr>
        <w:t xml:space="preserve"> made in</w:t>
      </w:r>
      <w:r w:rsidR="00913AC1">
        <w:rPr>
          <w:bCs/>
        </w:rPr>
        <w:t xml:space="preserve"> </w:t>
      </w:r>
      <w:r w:rsidR="00B32D52">
        <w:rPr>
          <w:bCs/>
        </w:rPr>
        <w:t>the previous RAN1 meetings</w:t>
      </w:r>
      <w:r w:rsidR="00E27749">
        <w:rPr>
          <w:bCs/>
        </w:rPr>
        <w:t>:</w:t>
      </w:r>
    </w:p>
    <w:p w14:paraId="054EBD22" w14:textId="676E6DE6" w:rsidR="009551FC" w:rsidRPr="00D612C5" w:rsidRDefault="009551FC" w:rsidP="009551FC">
      <w:pPr>
        <w:rPr>
          <w:rFonts w:eastAsia="Yu Mincho"/>
          <w:b/>
          <w:iCs/>
          <w:u w:val="single"/>
          <w:lang w:eastAsia="ja-JP"/>
        </w:rPr>
      </w:pPr>
      <w:r w:rsidRPr="00190FD7">
        <w:rPr>
          <w:rFonts w:eastAsia="Yu Mincho" w:hint="eastAsia"/>
          <w:b/>
          <w:iCs/>
          <w:highlight w:val="green"/>
          <w:u w:val="single"/>
          <w:lang w:eastAsia="ja-JP"/>
        </w:rPr>
        <w:t>Agreements:</w:t>
      </w:r>
      <w:r w:rsidR="004C6942" w:rsidRPr="004C6942">
        <w:rPr>
          <w:rFonts w:eastAsia="MS Mincho"/>
          <w:sz w:val="18"/>
          <w:lang w:val="en-US" w:eastAsia="ja-JP"/>
        </w:rPr>
        <w:t xml:space="preserve"> </w:t>
      </w:r>
      <w:r w:rsidR="004C6942" w:rsidRPr="006F0914">
        <w:rPr>
          <w:rFonts w:eastAsia="MS Mincho"/>
          <w:sz w:val="18"/>
          <w:lang w:val="en-US" w:eastAsia="ja-JP"/>
        </w:rPr>
        <w:t xml:space="preserve">(RAN1 </w:t>
      </w:r>
      <w:r w:rsidR="004C6942">
        <w:rPr>
          <w:rFonts w:eastAsia="MS Mincho"/>
          <w:sz w:val="18"/>
          <w:lang w:val="en-US" w:eastAsia="ja-JP"/>
        </w:rPr>
        <w:t>#90s</w:t>
      </w:r>
      <w:r w:rsidR="004C6942" w:rsidRPr="006F0914">
        <w:rPr>
          <w:rFonts w:eastAsia="MS Mincho"/>
          <w:sz w:val="18"/>
          <w:lang w:val="en-US" w:eastAsia="ja-JP"/>
        </w:rPr>
        <w:t>)</w:t>
      </w:r>
    </w:p>
    <w:p w14:paraId="38BA6684" w14:textId="77777777" w:rsidR="009551FC" w:rsidRPr="00D612C5" w:rsidRDefault="009551FC" w:rsidP="009551FC">
      <w:pPr>
        <w:numPr>
          <w:ilvl w:val="0"/>
          <w:numId w:val="30"/>
        </w:numPr>
        <w:tabs>
          <w:tab w:val="left" w:pos="0"/>
        </w:tabs>
        <w:overflowPunct/>
        <w:autoSpaceDE/>
        <w:autoSpaceDN/>
        <w:adjustRightInd/>
        <w:spacing w:after="0"/>
        <w:textAlignment w:val="auto"/>
        <w:rPr>
          <w:rFonts w:eastAsia="MS Mincho"/>
          <w:iCs/>
          <w:lang w:val="en-US" w:eastAsia="ja-JP"/>
        </w:rPr>
      </w:pPr>
      <w:r w:rsidRPr="00D612C5">
        <w:rPr>
          <w:rFonts w:eastAsia="MS Mincho"/>
          <w:iCs/>
          <w:lang w:val="en-US" w:eastAsia="ja-JP"/>
        </w:rPr>
        <w:t>NR specification should decouple the transmit (or RV) buffer from soft buffer size of the UE receiver.</w:t>
      </w:r>
    </w:p>
    <w:p w14:paraId="61FBB363" w14:textId="77777777" w:rsidR="009551FC" w:rsidRPr="00D612C5" w:rsidRDefault="009551FC" w:rsidP="009551FC">
      <w:pPr>
        <w:numPr>
          <w:ilvl w:val="1"/>
          <w:numId w:val="30"/>
        </w:numPr>
        <w:tabs>
          <w:tab w:val="left" w:pos="0"/>
        </w:tabs>
        <w:overflowPunct/>
        <w:autoSpaceDE/>
        <w:autoSpaceDN/>
        <w:adjustRightInd/>
        <w:spacing w:after="0"/>
        <w:textAlignment w:val="auto"/>
        <w:rPr>
          <w:rFonts w:eastAsia="MS Mincho"/>
          <w:iCs/>
          <w:lang w:val="en-US" w:eastAsia="ja-JP"/>
        </w:rPr>
      </w:pPr>
      <w:r w:rsidRPr="00D612C5">
        <w:rPr>
          <w:rFonts w:eastAsia="MS Mincho" w:hint="eastAsia"/>
          <w:iCs/>
          <w:lang w:val="en-US" w:eastAsia="ja-JP"/>
        </w:rPr>
        <w:t>Note: transmit (</w:t>
      </w:r>
      <w:r w:rsidRPr="00D612C5">
        <w:rPr>
          <w:rFonts w:eastAsia="MS Mincho"/>
          <w:iCs/>
          <w:lang w:val="en-US" w:eastAsia="ja-JP"/>
        </w:rPr>
        <w:t>or RV</w:t>
      </w:r>
      <w:r w:rsidRPr="00D612C5">
        <w:rPr>
          <w:rFonts w:eastAsia="MS Mincho" w:hint="eastAsia"/>
          <w:iCs/>
          <w:lang w:val="en-US" w:eastAsia="ja-JP"/>
        </w:rPr>
        <w:t>)</w:t>
      </w:r>
      <w:r w:rsidRPr="00D612C5">
        <w:rPr>
          <w:rFonts w:eastAsia="MS Mincho"/>
          <w:iCs/>
          <w:lang w:val="en-US" w:eastAsia="ja-JP"/>
        </w:rPr>
        <w:t xml:space="preserve"> buffer refers to the PDSCH rate-matching buffer</w:t>
      </w:r>
    </w:p>
    <w:p w14:paraId="5CFBB3A0" w14:textId="77777777" w:rsidR="009551FC" w:rsidRPr="009551FC" w:rsidRDefault="009551FC" w:rsidP="005A2E77">
      <w:pPr>
        <w:spacing w:after="120"/>
        <w:jc w:val="both"/>
        <w:rPr>
          <w:bCs/>
          <w:lang w:val="en-US"/>
        </w:rPr>
      </w:pPr>
    </w:p>
    <w:p w14:paraId="64A49606" w14:textId="77777777" w:rsidR="002F1B64" w:rsidRPr="00B10314" w:rsidRDefault="002F1B64" w:rsidP="002F1B64">
      <w:pPr>
        <w:spacing w:after="0"/>
        <w:rPr>
          <w:rFonts w:eastAsia="MS Mincho"/>
          <w:b/>
          <w:iCs/>
          <w:u w:val="single"/>
          <w:lang w:eastAsia="ja-JP"/>
        </w:rPr>
      </w:pPr>
      <w:r>
        <w:rPr>
          <w:rFonts w:eastAsia="MS Mincho" w:hint="eastAsia"/>
          <w:b/>
          <w:iCs/>
          <w:u w:val="single"/>
          <w:lang w:eastAsia="ja-JP"/>
        </w:rPr>
        <w:t>Conclusion</w:t>
      </w:r>
      <w:r w:rsidRPr="00B10314">
        <w:rPr>
          <w:rFonts w:eastAsia="MS Mincho" w:hint="eastAsia"/>
          <w:b/>
          <w:iCs/>
          <w:u w:val="single"/>
          <w:lang w:eastAsia="ja-JP"/>
        </w:rPr>
        <w:t>:</w:t>
      </w:r>
      <w:r>
        <w:rPr>
          <w:rFonts w:eastAsia="MS Mincho"/>
          <w:b/>
          <w:iCs/>
          <w:u w:val="single"/>
          <w:lang w:eastAsia="ja-JP"/>
        </w:rPr>
        <w:t xml:space="preserve"> </w:t>
      </w:r>
      <w:r w:rsidRPr="006F0914">
        <w:rPr>
          <w:rFonts w:eastAsia="MS Mincho"/>
          <w:sz w:val="18"/>
          <w:lang w:val="en-US" w:eastAsia="ja-JP"/>
        </w:rPr>
        <w:t xml:space="preserve">(RAN1 </w:t>
      </w:r>
      <w:r>
        <w:rPr>
          <w:rFonts w:eastAsia="MS Mincho"/>
          <w:sz w:val="18"/>
          <w:lang w:val="en-US" w:eastAsia="ja-JP"/>
        </w:rPr>
        <w:t>#88bis</w:t>
      </w:r>
      <w:r w:rsidRPr="006F0914">
        <w:rPr>
          <w:rFonts w:eastAsia="MS Mincho"/>
          <w:sz w:val="18"/>
          <w:lang w:val="en-US" w:eastAsia="ja-JP"/>
        </w:rPr>
        <w:t>)</w:t>
      </w:r>
    </w:p>
    <w:p w14:paraId="191C5327" w14:textId="77777777" w:rsidR="002F1B64" w:rsidRPr="00E83232" w:rsidRDefault="002F1B64" w:rsidP="002F1B64">
      <w:pPr>
        <w:numPr>
          <w:ilvl w:val="0"/>
          <w:numId w:val="29"/>
        </w:numPr>
        <w:overflowPunct/>
        <w:autoSpaceDE/>
        <w:autoSpaceDN/>
        <w:adjustRightInd/>
        <w:spacing w:after="0"/>
        <w:textAlignment w:val="auto"/>
        <w:rPr>
          <w:rFonts w:eastAsia="MS Mincho"/>
          <w:iCs/>
          <w:lang w:val="en-US" w:eastAsia="ja-JP"/>
        </w:rPr>
      </w:pPr>
      <w:r w:rsidRPr="00E83232">
        <w:rPr>
          <w:rFonts w:eastAsia="MS Mincho" w:hint="eastAsia"/>
          <w:iCs/>
          <w:lang w:val="en-US" w:eastAsia="ja-JP"/>
        </w:rPr>
        <w:t xml:space="preserve">Consider </w:t>
      </w:r>
      <w:r w:rsidRPr="00E83232">
        <w:rPr>
          <w:rFonts w:eastAsia="MS Mincho"/>
          <w:iCs/>
          <w:lang w:val="en-US" w:eastAsia="ja-JP"/>
        </w:rPr>
        <w:t xml:space="preserve">further </w:t>
      </w:r>
      <w:r w:rsidRPr="00E83232">
        <w:rPr>
          <w:rFonts w:eastAsia="MS Mincho" w:hint="eastAsia"/>
          <w:iCs/>
          <w:lang w:val="en-US" w:eastAsia="ja-JP"/>
        </w:rPr>
        <w:t>following two aspects</w:t>
      </w:r>
      <w:r>
        <w:rPr>
          <w:rFonts w:eastAsia="MS Mincho" w:hint="eastAsia"/>
          <w:iCs/>
          <w:lang w:val="en-US" w:eastAsia="ja-JP"/>
        </w:rPr>
        <w:t xml:space="preserve"> for the number of HARQ processes</w:t>
      </w:r>
      <w:r w:rsidRPr="00E83232">
        <w:rPr>
          <w:rFonts w:eastAsia="MS Mincho" w:hint="eastAsia"/>
          <w:iCs/>
          <w:lang w:val="en-US" w:eastAsia="ja-JP"/>
        </w:rPr>
        <w:t>:</w:t>
      </w:r>
    </w:p>
    <w:p w14:paraId="6EAEB304" w14:textId="77777777" w:rsidR="002F1B64" w:rsidRPr="00E83232" w:rsidRDefault="002F1B64" w:rsidP="002F1B64">
      <w:pPr>
        <w:numPr>
          <w:ilvl w:val="1"/>
          <w:numId w:val="29"/>
        </w:numPr>
        <w:overflowPunct/>
        <w:autoSpaceDE/>
        <w:autoSpaceDN/>
        <w:adjustRightInd/>
        <w:spacing w:after="0"/>
        <w:textAlignment w:val="auto"/>
        <w:rPr>
          <w:rFonts w:eastAsia="MS Mincho"/>
          <w:iCs/>
          <w:lang w:val="en-US" w:eastAsia="ja-JP"/>
        </w:rPr>
      </w:pPr>
      <w:r w:rsidRPr="00E83232">
        <w:rPr>
          <w:rFonts w:eastAsia="MS Mincho"/>
          <w:iCs/>
          <w:lang w:val="en-US" w:eastAsia="ja-JP"/>
        </w:rPr>
        <w:t>Maximum number of HARQ processes per carrier</w:t>
      </w:r>
    </w:p>
    <w:p w14:paraId="3F1694F8" w14:textId="77777777" w:rsidR="002F1B64" w:rsidRPr="00E83232" w:rsidRDefault="002F1B64" w:rsidP="002F1B64">
      <w:pPr>
        <w:numPr>
          <w:ilvl w:val="1"/>
          <w:numId w:val="29"/>
        </w:numPr>
        <w:overflowPunct/>
        <w:autoSpaceDE/>
        <w:autoSpaceDN/>
        <w:adjustRightInd/>
        <w:spacing w:after="0"/>
        <w:textAlignment w:val="auto"/>
        <w:rPr>
          <w:rFonts w:eastAsia="MS Mincho"/>
          <w:iCs/>
          <w:lang w:val="en-US" w:eastAsia="ja-JP"/>
        </w:rPr>
      </w:pPr>
      <w:r w:rsidRPr="00E83232">
        <w:rPr>
          <w:rFonts w:eastAsia="MS Mincho"/>
          <w:iCs/>
          <w:lang w:val="en-US" w:eastAsia="ja-JP"/>
        </w:rPr>
        <w:t>Soft-buffer size/dimensioning/partitioning</w:t>
      </w:r>
    </w:p>
    <w:p w14:paraId="605DB2F4" w14:textId="77777777" w:rsidR="002F1B64" w:rsidRPr="00AB2169" w:rsidRDefault="002F1B64" w:rsidP="002F1B64">
      <w:pPr>
        <w:numPr>
          <w:ilvl w:val="0"/>
          <w:numId w:val="29"/>
        </w:numPr>
        <w:overflowPunct/>
        <w:autoSpaceDE/>
        <w:autoSpaceDN/>
        <w:adjustRightInd/>
        <w:spacing w:after="0"/>
        <w:textAlignment w:val="auto"/>
        <w:rPr>
          <w:rFonts w:eastAsia="MS Mincho"/>
          <w:iCs/>
          <w:highlight w:val="cyan"/>
          <w:lang w:val="en-US" w:eastAsia="ja-JP"/>
        </w:rPr>
      </w:pPr>
      <w:r w:rsidRPr="00AB2169">
        <w:rPr>
          <w:rFonts w:eastAsia="MS Mincho"/>
          <w:iCs/>
          <w:highlight w:val="cyan"/>
          <w:lang w:val="en-US" w:eastAsia="ja-JP"/>
        </w:rPr>
        <w:t>Open questions:</w:t>
      </w:r>
    </w:p>
    <w:p w14:paraId="05A711B6" w14:textId="77777777" w:rsidR="002F1B64" w:rsidRPr="00AB2169" w:rsidRDefault="002F1B64" w:rsidP="002F1B64">
      <w:pPr>
        <w:numPr>
          <w:ilvl w:val="1"/>
          <w:numId w:val="29"/>
        </w:numPr>
        <w:overflowPunct/>
        <w:autoSpaceDE/>
        <w:autoSpaceDN/>
        <w:adjustRightInd/>
        <w:spacing w:after="0"/>
        <w:textAlignment w:val="auto"/>
        <w:rPr>
          <w:rFonts w:eastAsia="MS Mincho"/>
          <w:iCs/>
          <w:highlight w:val="cyan"/>
          <w:lang w:val="en-US" w:eastAsia="ja-JP"/>
        </w:rPr>
      </w:pPr>
      <w:r w:rsidRPr="00AB2169">
        <w:rPr>
          <w:rFonts w:eastAsia="MS Mincho"/>
          <w:iCs/>
          <w:highlight w:val="cyan"/>
          <w:lang w:val="en-US" w:eastAsia="ja-JP"/>
        </w:rPr>
        <w:t>What RAN1 specification impacts</w:t>
      </w:r>
      <w:r w:rsidRPr="00AB2169">
        <w:rPr>
          <w:rFonts w:eastAsia="MS Mincho" w:hint="eastAsia"/>
          <w:iCs/>
          <w:highlight w:val="cyan"/>
          <w:lang w:val="en-US" w:eastAsia="ja-JP"/>
        </w:rPr>
        <w:t xml:space="preserve"> the above two aspects will have?</w:t>
      </w:r>
    </w:p>
    <w:p w14:paraId="755F2923" w14:textId="77777777" w:rsidR="002F1B64" w:rsidRPr="00AB2169" w:rsidRDefault="002F1B64" w:rsidP="002F1B64">
      <w:pPr>
        <w:numPr>
          <w:ilvl w:val="1"/>
          <w:numId w:val="29"/>
        </w:numPr>
        <w:overflowPunct/>
        <w:autoSpaceDE/>
        <w:autoSpaceDN/>
        <w:adjustRightInd/>
        <w:spacing w:after="0"/>
        <w:textAlignment w:val="auto"/>
        <w:rPr>
          <w:rFonts w:eastAsia="MS Mincho"/>
          <w:iCs/>
          <w:highlight w:val="cyan"/>
          <w:lang w:val="en-US" w:eastAsia="ja-JP"/>
        </w:rPr>
      </w:pPr>
      <w:r w:rsidRPr="00AB2169">
        <w:rPr>
          <w:rFonts w:eastAsia="MS Mincho" w:hint="eastAsia"/>
          <w:iCs/>
          <w:highlight w:val="cyan"/>
          <w:lang w:val="en-US" w:eastAsia="ja-JP"/>
        </w:rPr>
        <w:t>What factors impacts on each of the aspects, and how much?</w:t>
      </w:r>
    </w:p>
    <w:p w14:paraId="5EBA227E" w14:textId="77777777" w:rsidR="002F1B64" w:rsidRPr="00AB2169" w:rsidRDefault="002F1B64" w:rsidP="002F1B64">
      <w:pPr>
        <w:numPr>
          <w:ilvl w:val="1"/>
          <w:numId w:val="29"/>
        </w:numPr>
        <w:overflowPunct/>
        <w:autoSpaceDE/>
        <w:autoSpaceDN/>
        <w:adjustRightInd/>
        <w:spacing w:after="0"/>
        <w:textAlignment w:val="auto"/>
        <w:rPr>
          <w:rFonts w:eastAsia="MS Mincho"/>
          <w:iCs/>
          <w:highlight w:val="cyan"/>
          <w:lang w:val="en-US" w:eastAsia="ja-JP"/>
        </w:rPr>
      </w:pPr>
      <w:r w:rsidRPr="00AB2169">
        <w:rPr>
          <w:rFonts w:eastAsia="MS Mincho" w:hint="eastAsia"/>
          <w:iCs/>
          <w:highlight w:val="cyan"/>
          <w:lang w:val="en-US" w:eastAsia="ja-JP"/>
        </w:rPr>
        <w:t>For which types of UEs the peak data rate is desirable?</w:t>
      </w:r>
    </w:p>
    <w:p w14:paraId="25CA2281" w14:textId="77777777" w:rsidR="002F1B64" w:rsidRPr="00AB2169" w:rsidRDefault="002F1B64" w:rsidP="002F1B64">
      <w:pPr>
        <w:numPr>
          <w:ilvl w:val="1"/>
          <w:numId w:val="29"/>
        </w:numPr>
        <w:overflowPunct/>
        <w:autoSpaceDE/>
        <w:autoSpaceDN/>
        <w:adjustRightInd/>
        <w:spacing w:after="0"/>
        <w:textAlignment w:val="auto"/>
        <w:rPr>
          <w:rFonts w:eastAsia="MS Mincho"/>
          <w:iCs/>
          <w:highlight w:val="cyan"/>
          <w:lang w:val="en-US" w:eastAsia="ja-JP"/>
        </w:rPr>
      </w:pPr>
      <w:r w:rsidRPr="00AB2169">
        <w:rPr>
          <w:rFonts w:eastAsia="MS Mincho"/>
          <w:iCs/>
          <w:highlight w:val="cyan"/>
          <w:lang w:val="en-US" w:eastAsia="ja-JP"/>
        </w:rPr>
        <w:t>What is the relation between these two aspects and flexible scheduling/HARQ-ACK feedback timings?</w:t>
      </w:r>
    </w:p>
    <w:p w14:paraId="569A6376" w14:textId="77777777" w:rsidR="002F1B64" w:rsidRPr="00AB2169" w:rsidRDefault="002F1B64" w:rsidP="002F1B64">
      <w:pPr>
        <w:numPr>
          <w:ilvl w:val="1"/>
          <w:numId w:val="29"/>
        </w:numPr>
        <w:overflowPunct/>
        <w:autoSpaceDE/>
        <w:autoSpaceDN/>
        <w:adjustRightInd/>
        <w:spacing w:after="0"/>
        <w:textAlignment w:val="auto"/>
        <w:rPr>
          <w:rFonts w:eastAsia="MS Mincho"/>
          <w:iCs/>
          <w:highlight w:val="cyan"/>
          <w:lang w:val="en-US" w:eastAsia="ja-JP"/>
        </w:rPr>
      </w:pPr>
      <w:r w:rsidRPr="00AB2169">
        <w:rPr>
          <w:rFonts w:eastAsia="MS Mincho"/>
          <w:iCs/>
          <w:highlight w:val="cyan"/>
          <w:lang w:val="en-US" w:eastAsia="ja-JP"/>
        </w:rPr>
        <w:t>How/whether different between downlink and uplink?</w:t>
      </w:r>
    </w:p>
    <w:p w14:paraId="7BE69356" w14:textId="77777777" w:rsidR="002F1B64" w:rsidRPr="00AB2169" w:rsidRDefault="002F1B64" w:rsidP="002F1B64">
      <w:pPr>
        <w:numPr>
          <w:ilvl w:val="0"/>
          <w:numId w:val="29"/>
        </w:numPr>
        <w:overflowPunct/>
        <w:autoSpaceDE/>
        <w:autoSpaceDN/>
        <w:adjustRightInd/>
        <w:spacing w:after="0"/>
        <w:textAlignment w:val="auto"/>
        <w:rPr>
          <w:rFonts w:eastAsia="MS Mincho"/>
          <w:iCs/>
          <w:highlight w:val="cyan"/>
          <w:lang w:val="en-US" w:eastAsia="ja-JP"/>
        </w:rPr>
      </w:pPr>
      <w:r w:rsidRPr="00AB2169">
        <w:rPr>
          <w:rFonts w:eastAsia="MS Mincho" w:hint="eastAsia"/>
          <w:iCs/>
          <w:highlight w:val="cyan"/>
          <w:lang w:val="en-US" w:eastAsia="ja-JP"/>
        </w:rPr>
        <w:t xml:space="preserve">Email discussion about above question until 20th April </w:t>
      </w:r>
      <w:r w:rsidRPr="00AB2169">
        <w:rPr>
          <w:rFonts w:eastAsia="MS Mincho"/>
          <w:iCs/>
          <w:highlight w:val="cyan"/>
          <w:lang w:val="en-US" w:eastAsia="ja-JP"/>
        </w:rPr>
        <w:t>–</w:t>
      </w:r>
      <w:r w:rsidRPr="00AB2169">
        <w:rPr>
          <w:rFonts w:eastAsia="MS Mincho" w:hint="eastAsia"/>
          <w:iCs/>
          <w:highlight w:val="cyan"/>
          <w:lang w:val="en-US" w:eastAsia="ja-JP"/>
        </w:rPr>
        <w:t xml:space="preserve"> Joseph (Qualcomm)</w:t>
      </w:r>
    </w:p>
    <w:p w14:paraId="36BE3D7E" w14:textId="77777777" w:rsidR="00520727" w:rsidRPr="00A12B8F" w:rsidRDefault="00520727" w:rsidP="00913AC1">
      <w:pPr>
        <w:spacing w:after="0"/>
        <w:rPr>
          <w:rFonts w:eastAsia="MS Mincho"/>
          <w:b/>
          <w:sz w:val="14"/>
          <w:highlight w:val="green"/>
          <w:u w:val="single"/>
          <w:lang w:val="en-US" w:eastAsia="ja-JP"/>
        </w:rPr>
      </w:pPr>
    </w:p>
    <w:p w14:paraId="55727E61" w14:textId="77777777" w:rsidR="002D2190" w:rsidRPr="006F0914" w:rsidRDefault="002D2190" w:rsidP="002D2190">
      <w:pPr>
        <w:overflowPunct/>
        <w:autoSpaceDE/>
        <w:autoSpaceDN/>
        <w:adjustRightInd/>
        <w:spacing w:after="0"/>
        <w:ind w:left="720"/>
        <w:textAlignment w:val="auto"/>
        <w:rPr>
          <w:rFonts w:eastAsia="MS Mincho"/>
          <w:i/>
          <w:sz w:val="16"/>
          <w:lang w:val="en-US" w:eastAsia="ja-JP"/>
        </w:rPr>
      </w:pPr>
    </w:p>
    <w:p w14:paraId="1AE55F8C" w14:textId="315D6DE1" w:rsidR="004B23AD" w:rsidRDefault="008D4B8A" w:rsidP="004B23AD">
      <w:pPr>
        <w:pStyle w:val="Heading1"/>
      </w:pPr>
      <w:r>
        <w:rPr>
          <w:color w:val="000000"/>
        </w:rPr>
        <w:t>2</w:t>
      </w:r>
      <w:r w:rsidR="004B23AD" w:rsidRPr="00A51522">
        <w:rPr>
          <w:color w:val="000000"/>
        </w:rPr>
        <w:tab/>
      </w:r>
      <w:r w:rsidR="00496C97" w:rsidRPr="00496C97">
        <w:t>UE soft buffer relation to number of HARQ processes</w:t>
      </w:r>
    </w:p>
    <w:p w14:paraId="27825502" w14:textId="77777777" w:rsidR="00D25F6B" w:rsidRDefault="005D1161" w:rsidP="00D25F6B">
      <w:pPr>
        <w:rPr>
          <w:rFonts w:eastAsia="MS Mincho"/>
          <w:lang w:eastAsia="ja-JP"/>
        </w:rPr>
      </w:pPr>
      <w:r>
        <w:rPr>
          <w:rFonts w:eastAsia="MS Mincho"/>
          <w:lang w:eastAsia="ja-JP"/>
        </w:rPr>
        <w:t>In order to ensure that all UEs are able to operate in all deployments, t</w:t>
      </w:r>
      <w:r>
        <w:rPr>
          <w:rFonts w:eastAsia="MS Mincho"/>
          <w:lang w:val="en-US" w:eastAsia="ja-JP"/>
        </w:rPr>
        <w:t>he maximum supported number of HARQ processes should not be a UE capability.</w:t>
      </w:r>
      <w:r w:rsidR="00D25F6B">
        <w:rPr>
          <w:rFonts w:eastAsia="MS Mincho"/>
          <w:lang w:val="en-US" w:eastAsia="ja-JP"/>
        </w:rPr>
        <w:t xml:space="preserve"> </w:t>
      </w:r>
      <w:r w:rsidR="00D25F6B">
        <w:rPr>
          <w:rFonts w:eastAsia="MS Mincho"/>
          <w:lang w:eastAsia="ja-JP"/>
        </w:rPr>
        <w:t>The soft-buffer dimensioning needs to take the peak data rate and a reasonable number of HARQ processes into account so that the UE would be able to handle bursty errors due to deteriorating link conditions even with high data rates when a typical number of HARQ process is configured to it, but this dimensioning would not need to take the maximum supported HARQ processes into account, as long as HARQ combining is still possible with full HARQ process configuration as well, even if it is not necessarily possible with the max TB size for all processes at the same time.</w:t>
      </w:r>
    </w:p>
    <w:p w14:paraId="6C5A6786" w14:textId="6FBA304D" w:rsidR="005D1161" w:rsidRDefault="005D1161" w:rsidP="00DF3F71">
      <w:pPr>
        <w:rPr>
          <w:rFonts w:eastAsia="MS Mincho"/>
          <w:lang w:val="en-US" w:eastAsia="ja-JP"/>
        </w:rPr>
      </w:pPr>
      <w:r>
        <w:rPr>
          <w:rFonts w:eastAsia="MS Mincho"/>
          <w:lang w:val="en-US" w:eastAsia="ja-JP"/>
        </w:rPr>
        <w:t>The LTE specification was based on the assumption that all HARQ processes are allocated a fixed-size HARQ soft buffer</w:t>
      </w:r>
      <w:r w:rsidR="00D25F6B">
        <w:rPr>
          <w:rFonts w:eastAsia="MS Mincho"/>
          <w:lang w:val="en-US" w:eastAsia="ja-JP"/>
        </w:rPr>
        <w:t xml:space="preserve">. Such assumption was acceptable when the number of HARQ processes was fixed, and it still </w:t>
      </w:r>
      <w:r w:rsidR="00D44AC4">
        <w:rPr>
          <w:rFonts w:eastAsia="MS Mincho"/>
          <w:lang w:val="en-US" w:eastAsia="ja-JP"/>
        </w:rPr>
        <w:t>possible for the</w:t>
      </w:r>
      <w:r w:rsidR="00D25F6B">
        <w:rPr>
          <w:rFonts w:eastAsia="MS Mincho"/>
          <w:lang w:val="en-US" w:eastAsia="ja-JP"/>
        </w:rPr>
        <w:t xml:space="preserve"> the UE </w:t>
      </w:r>
      <w:r w:rsidR="00D44AC4">
        <w:rPr>
          <w:rFonts w:eastAsia="MS Mincho"/>
          <w:lang w:val="en-US" w:eastAsia="ja-JP"/>
        </w:rPr>
        <w:t xml:space="preserve">implementation </w:t>
      </w:r>
      <w:r w:rsidR="00D25F6B">
        <w:rPr>
          <w:rFonts w:eastAsia="MS Mincho"/>
          <w:lang w:val="en-US" w:eastAsia="ja-JP"/>
        </w:rPr>
        <w:t>to optimize its soft buffer size by implementing less rigid soft buffer allocation to HARQ processes. At least in some implementation</w:t>
      </w:r>
      <w:r>
        <w:rPr>
          <w:rFonts w:eastAsia="MS Mincho"/>
          <w:lang w:val="en-US" w:eastAsia="ja-JP"/>
        </w:rPr>
        <w:t xml:space="preserve"> architectures it </w:t>
      </w:r>
      <w:r w:rsidR="00D25F6B">
        <w:rPr>
          <w:rFonts w:eastAsia="MS Mincho"/>
          <w:lang w:val="en-US" w:eastAsia="ja-JP"/>
        </w:rPr>
        <w:t>is</w:t>
      </w:r>
      <w:r>
        <w:rPr>
          <w:rFonts w:eastAsia="MS Mincho"/>
          <w:lang w:val="en-US" w:eastAsia="ja-JP"/>
        </w:rPr>
        <w:t xml:space="preserve"> possible to allocate the HARQ soft buffer dynamically and the larger number of HARQ processes would not directly impact the soft buffer dimensioning. If the soft buffer memory needs</w:t>
      </w:r>
      <w:r w:rsidR="00D25F6B">
        <w:rPr>
          <w:rFonts w:eastAsia="MS Mincho"/>
          <w:lang w:val="en-US" w:eastAsia="ja-JP"/>
        </w:rPr>
        <w:t xml:space="preserve"> for</w:t>
      </w:r>
      <w:r>
        <w:rPr>
          <w:rFonts w:eastAsia="MS Mincho"/>
          <w:lang w:val="en-US" w:eastAsia="ja-JP"/>
        </w:rPr>
        <w:t xml:space="preserve"> the simultaneously pending re-transmissions would exceed the overall soft buffer capacity the UE would have to drop some TBs from the soft buffer and lose HARQ combining gain. Such UE architecture would not need to trade-off between the supported TB size (peak data rate) and the number of su</w:t>
      </w:r>
      <w:r w:rsidR="00D25F6B">
        <w:rPr>
          <w:rFonts w:eastAsia="MS Mincho"/>
          <w:lang w:val="en-US" w:eastAsia="ja-JP"/>
        </w:rPr>
        <w:t>pported HARQ processes.</w:t>
      </w:r>
    </w:p>
    <w:p w14:paraId="0DF05D33" w14:textId="3FE002EA" w:rsidR="00D25F6B" w:rsidRDefault="00D25F6B" w:rsidP="00D25F6B">
      <w:pPr>
        <w:rPr>
          <w:rFonts w:eastAsia="MS Mincho"/>
          <w:lang w:val="en-US" w:eastAsia="ja-JP"/>
        </w:rPr>
      </w:pPr>
      <w:r>
        <w:rPr>
          <w:rFonts w:eastAsia="MS Mincho"/>
          <w:lang w:val="en-US" w:eastAsia="ja-JP"/>
        </w:rPr>
        <w:t xml:space="preserve">Moreover, the fixed soft-buffer split among HARQ processes as </w:t>
      </w:r>
      <w:r w:rsidR="00FA1D64">
        <w:rPr>
          <w:rFonts w:eastAsia="MS Mincho"/>
          <w:lang w:val="en-US" w:eastAsia="ja-JP"/>
        </w:rPr>
        <w:t xml:space="preserve">in principle </w:t>
      </w:r>
      <w:r>
        <w:rPr>
          <w:rFonts w:eastAsia="MS Mincho"/>
          <w:lang w:val="en-US" w:eastAsia="ja-JP"/>
        </w:rPr>
        <w:t xml:space="preserve">done e.g. for LTE carrier aggregation would not be very practical in NR. While in case of LTE each carrier is limited to 20MHz/100PRBs and having a fixed number of PDSCH symbols, the situation for NR is different as we have to consider a rather large variation in the carrier bandwidths, varying SCS, varying PDSCH durations. This leads to a large variation of the TB sizes between </w:t>
      </w:r>
      <w:r>
        <w:rPr>
          <w:rFonts w:eastAsia="MS Mincho"/>
          <w:lang w:val="en-US" w:eastAsia="ja-JP"/>
        </w:rPr>
        <w:lastRenderedPageBreak/>
        <w:t xml:space="preserve">HARQ processes from a single UE point of view even if each of them is scheduled with the DL peak data rate. Therefore, some more flexible UE soft-buffer management in the UE will be needed to cope with such TB size variations. </w:t>
      </w:r>
    </w:p>
    <w:p w14:paraId="757A40A6" w14:textId="09489C2E" w:rsidR="00F96678" w:rsidRDefault="00F96678" w:rsidP="00D25F6B">
      <w:pPr>
        <w:rPr>
          <w:rFonts w:eastAsia="MS Mincho"/>
          <w:lang w:val="en-US" w:eastAsia="ja-JP"/>
        </w:rPr>
      </w:pPr>
      <w:r>
        <w:rPr>
          <w:rFonts w:eastAsia="MS Mincho"/>
          <w:lang w:val="en-US" w:eastAsia="ja-JP"/>
        </w:rPr>
        <w:t>A semi-static (as opposed to dynamic) HARQ soft buffer allocation may be desired in simpler UE architectures, and the need to support such should be discussed further, while defining NR in such a way that the dynamic soft buffer usage is beneficial for the UE.</w:t>
      </w:r>
    </w:p>
    <w:p w14:paraId="353BF382" w14:textId="636B04E3" w:rsidR="00F96678" w:rsidRDefault="00F96678" w:rsidP="00DF3F71">
      <w:pPr>
        <w:spacing w:after="200" w:line="276" w:lineRule="auto"/>
        <w:jc w:val="both"/>
        <w:rPr>
          <w:i/>
          <w:lang w:val="en-US"/>
        </w:rPr>
      </w:pPr>
      <w:r w:rsidRPr="00E541B0">
        <w:rPr>
          <w:b/>
          <w:bCs/>
          <w:lang w:val="en-US"/>
        </w:rPr>
        <w:t xml:space="preserve">Proposal </w:t>
      </w:r>
      <w:r>
        <w:rPr>
          <w:b/>
          <w:bCs/>
          <w:lang w:val="en-US"/>
        </w:rPr>
        <w:t>#1</w:t>
      </w:r>
      <w:r w:rsidRPr="00E541B0">
        <w:rPr>
          <w:b/>
          <w:bCs/>
          <w:lang w:val="en-US"/>
        </w:rPr>
        <w:t xml:space="preserve">: </w:t>
      </w:r>
      <w:r w:rsidRPr="00E541B0">
        <w:rPr>
          <w:i/>
          <w:lang w:val="en-US"/>
        </w:rPr>
        <w:t xml:space="preserve">The </w:t>
      </w:r>
      <w:r>
        <w:rPr>
          <w:i/>
          <w:lang w:val="en-US"/>
        </w:rPr>
        <w:t xml:space="preserve">maximum </w:t>
      </w:r>
      <w:r w:rsidRPr="00E541B0">
        <w:rPr>
          <w:i/>
          <w:lang w:val="en-US"/>
        </w:rPr>
        <w:t xml:space="preserve">number of </w:t>
      </w:r>
      <w:r>
        <w:rPr>
          <w:i/>
          <w:lang w:val="en-US"/>
        </w:rPr>
        <w:t xml:space="preserve">supported </w:t>
      </w:r>
      <w:r w:rsidRPr="00E541B0">
        <w:rPr>
          <w:i/>
          <w:lang w:val="en-US"/>
        </w:rPr>
        <w:t xml:space="preserve">HARQ processes </w:t>
      </w:r>
      <w:r>
        <w:rPr>
          <w:i/>
          <w:lang w:val="en-US"/>
        </w:rPr>
        <w:t>per carrier and per MIMO CW is common to all UEs capable of supporting mobile broadband services, and the value is fixed in the specification.</w:t>
      </w:r>
    </w:p>
    <w:p w14:paraId="12B346F0" w14:textId="4640C4AB" w:rsidR="00DF3F71" w:rsidRDefault="00DF3F71" w:rsidP="00DF3F71">
      <w:pPr>
        <w:spacing w:after="200" w:line="276" w:lineRule="auto"/>
        <w:jc w:val="both"/>
        <w:rPr>
          <w:i/>
          <w:lang w:val="en-US"/>
        </w:rPr>
      </w:pPr>
      <w:r w:rsidRPr="00E541B0">
        <w:rPr>
          <w:b/>
          <w:bCs/>
          <w:lang w:val="en-US"/>
        </w:rPr>
        <w:t xml:space="preserve">Proposal </w:t>
      </w:r>
      <w:r>
        <w:rPr>
          <w:b/>
          <w:bCs/>
          <w:lang w:val="en-US"/>
        </w:rPr>
        <w:t>#</w:t>
      </w:r>
      <w:r w:rsidR="00F96678">
        <w:rPr>
          <w:b/>
          <w:bCs/>
          <w:lang w:val="en-US"/>
        </w:rPr>
        <w:t>2</w:t>
      </w:r>
      <w:r w:rsidRPr="00E541B0">
        <w:rPr>
          <w:b/>
          <w:bCs/>
          <w:lang w:val="en-US"/>
        </w:rPr>
        <w:t xml:space="preserve">: </w:t>
      </w:r>
      <w:r>
        <w:rPr>
          <w:i/>
          <w:lang w:val="en-US"/>
        </w:rPr>
        <w:t xml:space="preserve">Assume that </w:t>
      </w:r>
      <w:r w:rsidR="00D25F6B">
        <w:rPr>
          <w:i/>
          <w:lang w:val="en-US"/>
        </w:rPr>
        <w:t xml:space="preserve">at least some </w:t>
      </w:r>
      <w:r>
        <w:rPr>
          <w:i/>
          <w:lang w:val="en-US"/>
        </w:rPr>
        <w:t>UEs are able to dynamically allocate soft buffer memory to HARQ processes on a need basis</w:t>
      </w:r>
    </w:p>
    <w:p w14:paraId="40162380" w14:textId="1BE4CF3B" w:rsidR="00F96678" w:rsidRDefault="00F96678" w:rsidP="00F96678">
      <w:pPr>
        <w:spacing w:after="200" w:line="276" w:lineRule="auto"/>
        <w:jc w:val="both"/>
        <w:rPr>
          <w:i/>
          <w:lang w:val="en-US"/>
        </w:rPr>
      </w:pPr>
      <w:r w:rsidRPr="00E541B0">
        <w:rPr>
          <w:b/>
          <w:bCs/>
          <w:lang w:val="en-US"/>
        </w:rPr>
        <w:t xml:space="preserve">Proposal </w:t>
      </w:r>
      <w:r>
        <w:rPr>
          <w:b/>
          <w:bCs/>
          <w:lang w:val="en-US"/>
        </w:rPr>
        <w:t>#3</w:t>
      </w:r>
      <w:r w:rsidRPr="00E541B0">
        <w:rPr>
          <w:b/>
          <w:bCs/>
          <w:lang w:val="en-US"/>
        </w:rPr>
        <w:t xml:space="preserve">: </w:t>
      </w:r>
      <w:r w:rsidR="00C24707">
        <w:rPr>
          <w:i/>
          <w:lang w:val="en-US"/>
        </w:rPr>
        <w:t xml:space="preserve">If it is not possible to assume </w:t>
      </w:r>
      <w:r w:rsidR="00C24707" w:rsidRPr="00150836">
        <w:rPr>
          <w:i/>
          <w:lang w:val="en-US"/>
        </w:rPr>
        <w:t>that all UEs are able to</w:t>
      </w:r>
      <w:r w:rsidR="00C24707">
        <w:rPr>
          <w:i/>
          <w:lang w:val="en-US"/>
        </w:rPr>
        <w:t xml:space="preserve"> dynamically allocate soft buffer, t</w:t>
      </w:r>
      <w:r w:rsidRPr="00E541B0">
        <w:rPr>
          <w:i/>
          <w:lang w:val="en-US"/>
        </w:rPr>
        <w:t>he number of HARQ pro</w:t>
      </w:r>
      <w:r>
        <w:rPr>
          <w:i/>
          <w:lang w:val="en-US"/>
        </w:rPr>
        <w:t>cesses used in downlink per carrier and per MIMO CW is</w:t>
      </w:r>
      <w:r w:rsidRPr="00E541B0">
        <w:rPr>
          <w:i/>
          <w:lang w:val="en-US"/>
        </w:rPr>
        <w:t xml:space="preserve"> configurable semi-statically</w:t>
      </w:r>
    </w:p>
    <w:p w14:paraId="02B5240E" w14:textId="40A2AC31" w:rsidR="00DF3F71" w:rsidRDefault="00DF3F71" w:rsidP="00DF3F71">
      <w:pPr>
        <w:spacing w:after="200" w:line="276" w:lineRule="auto"/>
        <w:jc w:val="both"/>
        <w:rPr>
          <w:i/>
          <w:lang w:val="en-US"/>
        </w:rPr>
      </w:pPr>
      <w:r>
        <w:rPr>
          <w:b/>
          <w:bCs/>
          <w:lang w:val="en-US"/>
        </w:rPr>
        <w:t>Proposal #</w:t>
      </w:r>
      <w:r w:rsidR="00F96678">
        <w:rPr>
          <w:b/>
          <w:bCs/>
          <w:lang w:val="en-US"/>
        </w:rPr>
        <w:t>4</w:t>
      </w:r>
      <w:r w:rsidRPr="00E541B0">
        <w:rPr>
          <w:b/>
          <w:bCs/>
          <w:lang w:val="en-US"/>
        </w:rPr>
        <w:t xml:space="preserve">: </w:t>
      </w:r>
      <w:r>
        <w:rPr>
          <w:i/>
          <w:lang w:val="en-US"/>
        </w:rPr>
        <w:t>T</w:t>
      </w:r>
      <w:r w:rsidRPr="00E541B0">
        <w:rPr>
          <w:i/>
          <w:lang w:val="en-US"/>
        </w:rPr>
        <w:t xml:space="preserve">he </w:t>
      </w:r>
      <w:r w:rsidR="00CD6E97">
        <w:rPr>
          <w:i/>
          <w:lang w:val="en-US"/>
        </w:rPr>
        <w:t>maximum TB size</w:t>
      </w:r>
      <w:r w:rsidR="00CD6E97" w:rsidRPr="00CD6E97">
        <w:rPr>
          <w:i/>
          <w:lang w:val="en-US"/>
        </w:rPr>
        <w:t xml:space="preserve"> the UE </w:t>
      </w:r>
      <w:r w:rsidR="00CD6E97">
        <w:rPr>
          <w:i/>
          <w:lang w:val="en-US"/>
        </w:rPr>
        <w:t xml:space="preserve">can be transmitted </w:t>
      </w:r>
      <w:r w:rsidR="00F96678">
        <w:rPr>
          <w:i/>
          <w:lang w:val="en-US"/>
        </w:rPr>
        <w:t xml:space="preserve">to </w:t>
      </w:r>
      <w:r w:rsidR="00CD6E97" w:rsidRPr="00CD6E97">
        <w:rPr>
          <w:i/>
          <w:lang w:val="en-US"/>
        </w:rPr>
        <w:t>is the same regardless of the number of configured HARQ processes</w:t>
      </w:r>
    </w:p>
    <w:p w14:paraId="30A1DFEC" w14:textId="00DC9433" w:rsidR="00F811DE" w:rsidRDefault="00DF3F71" w:rsidP="00F64AFE">
      <w:pPr>
        <w:spacing w:after="200" w:line="276" w:lineRule="auto"/>
        <w:jc w:val="both"/>
        <w:rPr>
          <w:i/>
          <w:lang w:val="en-US"/>
        </w:rPr>
      </w:pPr>
      <w:r w:rsidRPr="00E541B0">
        <w:rPr>
          <w:b/>
          <w:bCs/>
          <w:lang w:val="en-US"/>
        </w:rPr>
        <w:t>Proposal</w:t>
      </w:r>
      <w:r>
        <w:rPr>
          <w:b/>
          <w:bCs/>
          <w:lang w:val="en-US"/>
        </w:rPr>
        <w:t xml:space="preserve"> #5</w:t>
      </w:r>
      <w:r w:rsidRPr="00E541B0">
        <w:rPr>
          <w:b/>
          <w:bCs/>
          <w:lang w:val="en-US"/>
        </w:rPr>
        <w:t xml:space="preserve">: </w:t>
      </w:r>
      <w:r>
        <w:rPr>
          <w:i/>
          <w:lang w:val="en-US"/>
        </w:rPr>
        <w:t>T</w:t>
      </w:r>
      <w:r w:rsidRPr="00E541B0">
        <w:rPr>
          <w:i/>
          <w:lang w:val="en-US"/>
        </w:rPr>
        <w:t xml:space="preserve">he </w:t>
      </w:r>
      <w:r>
        <w:rPr>
          <w:i/>
          <w:lang w:val="en-US"/>
        </w:rPr>
        <w:t>UE’s soft combining performance may be reduced when a large number of HARQ processes is configured</w:t>
      </w:r>
      <w:r w:rsidR="00204FCD">
        <w:rPr>
          <w:i/>
          <w:lang w:val="en-US"/>
        </w:rPr>
        <w:t xml:space="preserve"> and the UE is scheduled continuously with (clos</w:t>
      </w:r>
      <w:r w:rsidR="00B06C50">
        <w:rPr>
          <w:i/>
          <w:lang w:val="en-US"/>
        </w:rPr>
        <w:t>e</w:t>
      </w:r>
      <w:r w:rsidR="00204FCD">
        <w:rPr>
          <w:i/>
          <w:lang w:val="en-US"/>
        </w:rPr>
        <w:t xml:space="preserve"> to) peak data rate</w:t>
      </w:r>
    </w:p>
    <w:p w14:paraId="260A93AA" w14:textId="29921E96" w:rsidR="00D44AC4" w:rsidRDefault="00D44AC4" w:rsidP="00F64AFE">
      <w:pPr>
        <w:spacing w:after="200" w:line="276" w:lineRule="auto"/>
        <w:jc w:val="both"/>
        <w:rPr>
          <w:lang w:val="en-US"/>
        </w:rPr>
      </w:pPr>
      <w:r>
        <w:rPr>
          <w:lang w:val="en-US"/>
        </w:rPr>
        <w:t>The maximum number of HARQ processes for the NR to support is further discussed in [6], in which we proposa to adopt a maximum of 16 HARQ processes in the NR specifications.</w:t>
      </w:r>
    </w:p>
    <w:p w14:paraId="65AC323D" w14:textId="77777777" w:rsidR="00876ECE" w:rsidRPr="00D44AC4" w:rsidRDefault="00876ECE" w:rsidP="00F64AFE">
      <w:pPr>
        <w:spacing w:after="200" w:line="276" w:lineRule="auto"/>
        <w:jc w:val="both"/>
        <w:rPr>
          <w:lang w:val="en-US"/>
        </w:rPr>
      </w:pPr>
    </w:p>
    <w:p w14:paraId="359EFA3B" w14:textId="6127ED86" w:rsidR="004C6942" w:rsidRDefault="00BD667F" w:rsidP="004C6942">
      <w:pPr>
        <w:pStyle w:val="Heading1"/>
      </w:pPr>
      <w:r>
        <w:rPr>
          <w:color w:val="000000"/>
        </w:rPr>
        <w:t>3</w:t>
      </w:r>
      <w:r w:rsidR="004C6942" w:rsidRPr="00A51522">
        <w:rPr>
          <w:color w:val="000000"/>
        </w:rPr>
        <w:tab/>
      </w:r>
      <w:r w:rsidR="00D44AC4">
        <w:t>LTE-NR Dual Connectivity and inter-RAT buffer sharing</w:t>
      </w:r>
    </w:p>
    <w:p w14:paraId="2EF26899" w14:textId="77777777" w:rsidR="004C6942" w:rsidRDefault="004C6942" w:rsidP="004C6942">
      <w:pPr>
        <w:rPr>
          <w:rFonts w:eastAsia="MS Mincho"/>
          <w:lang w:eastAsia="ja-JP"/>
        </w:rPr>
      </w:pPr>
      <w:r>
        <w:rPr>
          <w:rFonts w:eastAsia="MS Mincho"/>
          <w:lang w:eastAsia="ja-JP"/>
        </w:rPr>
        <w:t>RAN2 and RAN1 had an earlier email exchange related to the HARQ buffer sharing between LTE and NR [3], [4] in January 2017:</w:t>
      </w:r>
    </w:p>
    <w:p w14:paraId="24A39425" w14:textId="77777777" w:rsidR="004C6942" w:rsidRDefault="004C6942" w:rsidP="004C6942">
      <w:pPr>
        <w:spacing w:after="120"/>
        <w:rPr>
          <w:rFonts w:ascii="Arial" w:hAnsi="Arial" w:cs="Arial"/>
          <w:i/>
        </w:rPr>
      </w:pPr>
      <w:r w:rsidRPr="00617882">
        <w:rPr>
          <w:rFonts w:ascii="Arial" w:hAnsi="Arial" w:cs="Arial"/>
          <w:i/>
          <w:noProof/>
        </w:rPr>
        <mc:AlternateContent>
          <mc:Choice Requires="wps">
            <w:drawing>
              <wp:inline distT="0" distB="0" distL="0" distR="0" wp14:anchorId="113670E4" wp14:editId="709583BD">
                <wp:extent cx="6142008" cy="1404620"/>
                <wp:effectExtent l="0" t="0" r="1143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2008" cy="1404620"/>
                        </a:xfrm>
                        <a:prstGeom prst="rect">
                          <a:avLst/>
                        </a:prstGeom>
                        <a:solidFill>
                          <a:srgbClr val="FFFFFF"/>
                        </a:solidFill>
                        <a:ln w="9525">
                          <a:solidFill>
                            <a:srgbClr val="000000"/>
                          </a:solidFill>
                          <a:miter lim="800000"/>
                          <a:headEnd/>
                          <a:tailEnd/>
                        </a:ln>
                      </wps:spPr>
                      <wps:txbx>
                        <w:txbxContent>
                          <w:p w14:paraId="7069F983" w14:textId="77777777" w:rsidR="004C6942" w:rsidRPr="00B255E5" w:rsidRDefault="004C6942" w:rsidP="004C6942">
                            <w:pPr>
                              <w:spacing w:after="120"/>
                              <w:rPr>
                                <w:rFonts w:ascii="Arial" w:hAnsi="Arial" w:cs="Arial"/>
                                <w:i/>
                              </w:rPr>
                            </w:pPr>
                            <w:r w:rsidRPr="00B255E5">
                              <w:rPr>
                                <w:rFonts w:ascii="Arial" w:hAnsi="Arial" w:cs="Arial"/>
                                <w:i/>
                              </w:rPr>
                              <w:t>Q2: Is dynamic sharing of HARQ soft buffer feasible between LTE and NR or will the total number of soft-channel bits be semi-statically split between LTE and NR?</w:t>
                            </w:r>
                          </w:p>
                          <w:p w14:paraId="2C961957" w14:textId="77777777" w:rsidR="004C6942" w:rsidRPr="00617882" w:rsidRDefault="004C6942" w:rsidP="004C6942">
                            <w:pPr>
                              <w:spacing w:after="120"/>
                              <w:rPr>
                                <w:rFonts w:ascii="Arial" w:hAnsi="Arial" w:cs="Arial"/>
                              </w:rPr>
                            </w:pPr>
                            <w:r w:rsidRPr="00B255E5">
                              <w:rPr>
                                <w:rFonts w:ascii="Arial" w:hAnsi="Arial" w:cs="Arial"/>
                              </w:rPr>
                              <w:t>A2: Semi-static sharing of the HARQ soft buffer (As opposed to fixed allocation of soft memory between LTE and NR) may be feasible in some UE architectures. RAN1 has not investigated the feasibility of fully dynamic HARQ soft buffer sharing.</w:t>
                            </w:r>
                          </w:p>
                        </w:txbxContent>
                      </wps:txbx>
                      <wps:bodyPr rot="0" vert="horz" wrap="square" lIns="91440" tIns="45720" rIns="91440" bIns="45720" anchor="t" anchorCtr="0">
                        <a:spAutoFit/>
                      </wps:bodyPr>
                    </wps:wsp>
                  </a:graphicData>
                </a:graphic>
              </wp:inline>
            </w:drawing>
          </mc:Choice>
          <mc:Fallback>
            <w:pict>
              <v:shapetype w14:anchorId="113670E4" id="_x0000_t202" coordsize="21600,21600" o:spt="202" path="m,l,21600r21600,l21600,xe">
                <v:stroke joinstyle="miter"/>
                <v:path gradientshapeok="t" o:connecttype="rect"/>
              </v:shapetype>
              <v:shape id="Text Box 2" o:spid="_x0000_s1026" type="#_x0000_t202" style="width:483.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">
                <v:textbox style="mso-fit-shape-to-text:t">
                  <w:txbxContent>
                    <w:p w14:paraId="7069F983" w14:textId="77777777" w:rsidR="004C6942" w:rsidRPr="00B255E5" w:rsidRDefault="004C6942" w:rsidP="004C6942">
                      <w:pPr>
                        <w:spacing w:after="120"/>
                        <w:rPr>
                          <w:rFonts w:ascii="Arial" w:hAnsi="Arial" w:cs="Arial"/>
                          <w:i/>
                        </w:rPr>
                      </w:pPr>
                      <w:r w:rsidRPr="00B255E5">
                        <w:rPr>
                          <w:rFonts w:ascii="Arial" w:hAnsi="Arial" w:cs="Arial"/>
                          <w:i/>
                        </w:rPr>
                        <w:t>Q2: Is dynamic sharing of HARQ soft buffer feasible between LTE and NR or will the total number of soft-channel bits be semi-statically split between LTE and NR?</w:t>
                      </w:r>
                    </w:p>
                    <w:p w14:paraId="2C961957" w14:textId="77777777" w:rsidR="004C6942" w:rsidRPr="00617882" w:rsidRDefault="004C6942" w:rsidP="004C6942">
                      <w:pPr>
                        <w:spacing w:after="120"/>
                        <w:rPr>
                          <w:rFonts w:ascii="Arial" w:hAnsi="Arial" w:cs="Arial"/>
                        </w:rPr>
                      </w:pPr>
                      <w:r w:rsidRPr="00B255E5">
                        <w:rPr>
                          <w:rFonts w:ascii="Arial" w:hAnsi="Arial" w:cs="Arial"/>
                        </w:rPr>
                        <w:t>A2: Semi-static sharing of the HARQ soft buffer (As opposed to fixed allocation of soft memory between LTE and NR) may be feasible in some UE architectures. RAN1 has not investigated the feasibility of fully dynamic HARQ soft buffer sharing.</w:t>
                      </w:r>
                    </w:p>
                  </w:txbxContent>
                </v:textbox>
                <w10:anchorlock/>
              </v:shape>
            </w:pict>
          </mc:Fallback>
        </mc:AlternateContent>
      </w:r>
    </w:p>
    <w:p w14:paraId="32770BC3" w14:textId="77777777" w:rsidR="004C6942" w:rsidRDefault="004C6942" w:rsidP="004C6942">
      <w:pPr>
        <w:rPr>
          <w:rFonts w:eastAsia="MS Mincho"/>
          <w:lang w:eastAsia="ja-JP"/>
        </w:rPr>
      </w:pPr>
    </w:p>
    <w:p w14:paraId="1C0AF3C9" w14:textId="77777777" w:rsidR="004C6942" w:rsidRDefault="004C6942" w:rsidP="004C6942">
      <w:pPr>
        <w:rPr>
          <w:rFonts w:eastAsia="MS Mincho"/>
          <w:lang w:eastAsia="ja-JP"/>
        </w:rPr>
      </w:pPr>
      <w:r>
        <w:rPr>
          <w:rFonts w:eastAsia="MS Mincho"/>
          <w:lang w:eastAsia="ja-JP"/>
        </w:rPr>
        <w:t>RAN2 sent a follow-up LS [5] to RAN1#90:</w:t>
      </w:r>
    </w:p>
    <w:p w14:paraId="6B37257B" w14:textId="77777777" w:rsidR="004C6942" w:rsidRDefault="004C6942" w:rsidP="004C6942">
      <w:pPr>
        <w:rPr>
          <w:rFonts w:eastAsia="MS Mincho"/>
          <w:lang w:eastAsia="ja-JP"/>
        </w:rPr>
      </w:pPr>
      <w:r w:rsidRPr="00617882">
        <w:rPr>
          <w:rFonts w:ascii="Arial" w:hAnsi="Arial" w:cs="Arial"/>
          <w:i/>
          <w:noProof/>
        </w:rPr>
        <mc:AlternateContent>
          <mc:Choice Requires="wps">
            <w:drawing>
              <wp:inline distT="0" distB="0" distL="0" distR="0" wp14:anchorId="32EBCA3E" wp14:editId="1ABA8B9C">
                <wp:extent cx="6120765" cy="979626"/>
                <wp:effectExtent l="0" t="0" r="13335" b="266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79626"/>
                        </a:xfrm>
                        <a:prstGeom prst="rect">
                          <a:avLst/>
                        </a:prstGeom>
                        <a:solidFill>
                          <a:srgbClr val="FFFFFF"/>
                        </a:solidFill>
                        <a:ln w="9525">
                          <a:solidFill>
                            <a:srgbClr val="000000"/>
                          </a:solidFill>
                          <a:miter lim="800000"/>
                          <a:headEnd/>
                          <a:tailEnd/>
                        </a:ln>
                      </wps:spPr>
                      <wps:txbx>
                        <w:txbxContent>
                          <w:p w14:paraId="4452416A" w14:textId="77777777" w:rsidR="004C6942" w:rsidRDefault="004C6942" w:rsidP="004C6942">
                            <w:pPr>
                              <w:spacing w:after="120"/>
                              <w:rPr>
                                <w:rFonts w:ascii="Arial" w:hAnsi="Arial" w:cs="Arial"/>
                                <w:lang w:val="en-US"/>
                              </w:rPr>
                            </w:pPr>
                            <w:r>
                              <w:rPr>
                                <w:rFonts w:ascii="Arial" w:hAnsi="Arial" w:cs="Arial"/>
                              </w:rPr>
                              <w:t xml:space="preserve">RAN2 understands for LTE and NR dual-connectivity i.e. MR-DC (Multi-RAT DC) the </w:t>
                            </w:r>
                            <w:r w:rsidRPr="006D6942">
                              <w:rPr>
                                <w:rFonts w:ascii="Arial" w:hAnsi="Arial" w:cs="Arial"/>
                                <w:lang w:val="en-US"/>
                              </w:rPr>
                              <w:t>capability signalling and coordinati</w:t>
                            </w:r>
                            <w:r>
                              <w:rPr>
                                <w:rFonts w:ascii="Arial" w:hAnsi="Arial" w:cs="Arial"/>
                                <w:lang w:val="en-US"/>
                              </w:rPr>
                              <w:t xml:space="preserve">on will be needed for baseband </w:t>
                            </w:r>
                            <w:r w:rsidRPr="006D6942">
                              <w:rPr>
                                <w:rFonts w:ascii="Arial" w:hAnsi="Arial" w:cs="Arial"/>
                                <w:lang w:val="en-US"/>
                              </w:rPr>
                              <w:t>capabilities between LTE and NR</w:t>
                            </w:r>
                            <w:r>
                              <w:rPr>
                                <w:rFonts w:ascii="Arial" w:hAnsi="Arial" w:cs="Arial"/>
                                <w:lang w:val="en-US"/>
                              </w:rPr>
                              <w:t xml:space="preserve"> if baseband capabilities are shared and should be split by the network (eNB/gNB)</w:t>
                            </w:r>
                            <w:r w:rsidRPr="006D6942">
                              <w:rPr>
                                <w:rFonts w:ascii="Arial" w:hAnsi="Arial" w:cs="Arial"/>
                                <w:lang w:val="en-US"/>
                              </w:rPr>
                              <w:t xml:space="preserve">. </w:t>
                            </w:r>
                            <w:r>
                              <w:rPr>
                                <w:rFonts w:ascii="Arial" w:hAnsi="Arial" w:cs="Arial"/>
                                <w:lang w:val="en-US"/>
                              </w:rPr>
                              <w:t>Based on the RAN2 outgoing LS in [1] and the RAN1 and RAN4 response LS in [2] and [3] respectively, RAN4 responded as follows: “</w:t>
                            </w:r>
                            <w:r w:rsidRPr="006D6942">
                              <w:rPr>
                                <w:rFonts w:ascii="Arial" w:hAnsi="Arial" w:cs="Arial"/>
                                <w:i/>
                              </w:rPr>
                              <w:t>RAN4 has identified that some NR UE capabilities may depend on the LTE/NR band combinations, such as MIMO layers, however it is FFS to identify all parameters”</w:t>
                            </w:r>
                            <w:r>
                              <w:rPr>
                                <w:rFonts w:ascii="Arial" w:hAnsi="Arial" w:cs="Arial"/>
                                <w:lang w:val="en-US"/>
                              </w:rPr>
                              <w:t xml:space="preserve">. However, it is not clear which specific baseband capabilities are shared and split by eNB/gNB. </w:t>
                            </w:r>
                          </w:p>
                          <w:p w14:paraId="22A4565A" w14:textId="77777777" w:rsidR="004C6942" w:rsidRDefault="004C6942" w:rsidP="004C6942">
                            <w:pPr>
                              <w:spacing w:after="120"/>
                              <w:rPr>
                                <w:rFonts w:ascii="Arial" w:hAnsi="Arial" w:cs="Arial"/>
                                <w:lang w:val="en-US"/>
                              </w:rPr>
                            </w:pPr>
                          </w:p>
                          <w:p w14:paraId="1591822E" w14:textId="77777777" w:rsidR="004C6942" w:rsidRPr="00617882" w:rsidRDefault="004C6942" w:rsidP="004C6942">
                            <w:pPr>
                              <w:spacing w:after="120"/>
                              <w:rPr>
                                <w:rFonts w:ascii="Arial" w:hAnsi="Arial" w:cs="Arial"/>
                              </w:rPr>
                            </w:pPr>
                            <w:r>
                              <w:rPr>
                                <w:rFonts w:ascii="Arial" w:hAnsi="Arial" w:cs="Arial"/>
                                <w:lang w:val="en-US"/>
                              </w:rPr>
                              <w:t xml:space="preserve">Q1: In the context of the above discussion, RAN2 would like to know </w:t>
                            </w:r>
                            <w:r>
                              <w:rPr>
                                <w:rFonts w:ascii="Arial" w:hAnsi="Arial" w:cs="Arial"/>
                              </w:rPr>
                              <w:t>which of the</w:t>
                            </w:r>
                            <w:r w:rsidRPr="006D6942">
                              <w:rPr>
                                <w:rFonts w:ascii="Arial" w:hAnsi="Arial" w:cs="Arial"/>
                              </w:rPr>
                              <w:t xml:space="preserve"> baseband capabilities </w:t>
                            </w:r>
                            <w:r>
                              <w:rPr>
                                <w:rFonts w:ascii="Arial" w:hAnsi="Arial" w:cs="Arial"/>
                              </w:rPr>
                              <w:t xml:space="preserve">are </w:t>
                            </w:r>
                            <w:r w:rsidRPr="006D6942">
                              <w:rPr>
                                <w:rFonts w:ascii="Arial" w:hAnsi="Arial" w:cs="Arial"/>
                              </w:rPr>
                              <w:t xml:space="preserve">shared </w:t>
                            </w:r>
                            <w:r>
                              <w:rPr>
                                <w:rFonts w:ascii="Arial" w:hAnsi="Arial" w:cs="Arial"/>
                              </w:rPr>
                              <w:t xml:space="preserve">and split </w:t>
                            </w:r>
                            <w:r w:rsidRPr="006D6942">
                              <w:rPr>
                                <w:rFonts w:ascii="Arial" w:hAnsi="Arial" w:cs="Arial"/>
                              </w:rPr>
                              <w:t>between LTE and NR</w:t>
                            </w:r>
                            <w:r>
                              <w:rPr>
                                <w:rFonts w:ascii="Arial" w:hAnsi="Arial" w:cs="Arial"/>
                              </w:rPr>
                              <w:t xml:space="preserve"> by eNB/gNB? </w:t>
                            </w:r>
                          </w:p>
                        </w:txbxContent>
                      </wps:txbx>
                      <wps:bodyPr rot="0" vert="horz" wrap="square" lIns="91440" tIns="45720" rIns="91440" bIns="45720" anchor="t" anchorCtr="0">
                        <a:spAutoFit/>
                      </wps:bodyPr>
                    </wps:wsp>
                  </a:graphicData>
                </a:graphic>
              </wp:inline>
            </w:drawing>
          </mc:Choice>
          <mc:Fallback>
            <w:pict>
              <v:shape w14:anchorId="32EBCA3E" id="_x0000_s1027" type="#_x0000_t202" style="width:481.95pt;height:7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">
                <v:textbox style="mso-fit-shape-to-text:t">
                  <w:txbxContent>
                    <w:p w14:paraId="4452416A" w14:textId="77777777" w:rsidR="004C6942" w:rsidRDefault="004C6942" w:rsidP="004C6942">
                      <w:pPr>
                        <w:spacing w:after="120"/>
                        <w:rPr>
                          <w:rFonts w:ascii="Arial" w:hAnsi="Arial" w:cs="Arial"/>
                          <w:lang w:val="en-US"/>
                        </w:rPr>
                      </w:pPr>
                      <w:r>
                        <w:rPr>
                          <w:rFonts w:ascii="Arial" w:hAnsi="Arial" w:cs="Arial"/>
                        </w:rPr>
                        <w:t xml:space="preserve">RAN2 understands for LTE and NR dual-connectivity i.e. MR-DC (Multi-RAT DC) the </w:t>
                      </w:r>
                      <w:r w:rsidRPr="006D6942">
                        <w:rPr>
                          <w:rFonts w:ascii="Arial" w:hAnsi="Arial" w:cs="Arial"/>
                          <w:lang w:val="en-US"/>
                        </w:rPr>
                        <w:t>capability signalling and coordinati</w:t>
                      </w:r>
                      <w:r>
                        <w:rPr>
                          <w:rFonts w:ascii="Arial" w:hAnsi="Arial" w:cs="Arial"/>
                          <w:lang w:val="en-US"/>
                        </w:rPr>
                        <w:t xml:space="preserve">on will be needed for baseband </w:t>
                      </w:r>
                      <w:r w:rsidRPr="006D6942">
                        <w:rPr>
                          <w:rFonts w:ascii="Arial" w:hAnsi="Arial" w:cs="Arial"/>
                          <w:lang w:val="en-US"/>
                        </w:rPr>
                        <w:t>capabilities between LTE and NR</w:t>
                      </w:r>
                      <w:r>
                        <w:rPr>
                          <w:rFonts w:ascii="Arial" w:hAnsi="Arial" w:cs="Arial"/>
                          <w:lang w:val="en-US"/>
                        </w:rPr>
                        <w:t xml:space="preserve"> if baseband capabilities are shared and should be split by the network (eNB/gNB)</w:t>
                      </w:r>
                      <w:r w:rsidRPr="006D6942">
                        <w:rPr>
                          <w:rFonts w:ascii="Arial" w:hAnsi="Arial" w:cs="Arial"/>
                          <w:lang w:val="en-US"/>
                        </w:rPr>
                        <w:t xml:space="preserve">. </w:t>
                      </w:r>
                      <w:r>
                        <w:rPr>
                          <w:rFonts w:ascii="Arial" w:hAnsi="Arial" w:cs="Arial"/>
                          <w:lang w:val="en-US"/>
                        </w:rPr>
                        <w:t>Based on the RAN2 outgoing LS in [1] and the RAN1 and RAN4 response LS in [2] and [3] respectively, RAN4 responded as follows: “</w:t>
                      </w:r>
                      <w:r w:rsidRPr="006D6942">
                        <w:rPr>
                          <w:rFonts w:ascii="Arial" w:hAnsi="Arial" w:cs="Arial"/>
                          <w:i/>
                        </w:rPr>
                        <w:t>RAN4 has identified that some NR UE capabilities may depend on the LTE/NR band combinations, such as MIMO layers, however it is FFS to identify all parameters”</w:t>
                      </w:r>
                      <w:r>
                        <w:rPr>
                          <w:rFonts w:ascii="Arial" w:hAnsi="Arial" w:cs="Arial"/>
                          <w:lang w:val="en-US"/>
                        </w:rPr>
                        <w:t xml:space="preserve">. However, it is not clear which specific baseband capabilities are shared and split by eNB/gNB. </w:t>
                      </w:r>
                    </w:p>
                    <w:p w14:paraId="22A4565A" w14:textId="77777777" w:rsidR="004C6942" w:rsidRDefault="004C6942" w:rsidP="004C6942">
                      <w:pPr>
                        <w:spacing w:after="120"/>
                        <w:rPr>
                          <w:rFonts w:ascii="Arial" w:hAnsi="Arial" w:cs="Arial"/>
                          <w:lang w:val="en-US"/>
                        </w:rPr>
                      </w:pPr>
                    </w:p>
                    <w:p w14:paraId="1591822E" w14:textId="77777777" w:rsidR="004C6942" w:rsidRPr="00617882" w:rsidRDefault="004C6942" w:rsidP="004C6942">
                      <w:pPr>
                        <w:spacing w:after="120"/>
                        <w:rPr>
                          <w:rFonts w:ascii="Arial" w:hAnsi="Arial" w:cs="Arial"/>
                        </w:rPr>
                      </w:pPr>
                      <w:r>
                        <w:rPr>
                          <w:rFonts w:ascii="Arial" w:hAnsi="Arial" w:cs="Arial"/>
                          <w:lang w:val="en-US"/>
                        </w:rPr>
                        <w:t xml:space="preserve">Q1: In the context of the above discussion, RAN2 would like to know </w:t>
                      </w:r>
                      <w:r>
                        <w:rPr>
                          <w:rFonts w:ascii="Arial" w:hAnsi="Arial" w:cs="Arial"/>
                        </w:rPr>
                        <w:t>which of the</w:t>
                      </w:r>
                      <w:r w:rsidRPr="006D6942">
                        <w:rPr>
                          <w:rFonts w:ascii="Arial" w:hAnsi="Arial" w:cs="Arial"/>
                        </w:rPr>
                        <w:t xml:space="preserve"> baseband capabilities </w:t>
                      </w:r>
                      <w:r>
                        <w:rPr>
                          <w:rFonts w:ascii="Arial" w:hAnsi="Arial" w:cs="Arial"/>
                        </w:rPr>
                        <w:t xml:space="preserve">are </w:t>
                      </w:r>
                      <w:r w:rsidRPr="006D6942">
                        <w:rPr>
                          <w:rFonts w:ascii="Arial" w:hAnsi="Arial" w:cs="Arial"/>
                        </w:rPr>
                        <w:t xml:space="preserve">shared </w:t>
                      </w:r>
                      <w:r>
                        <w:rPr>
                          <w:rFonts w:ascii="Arial" w:hAnsi="Arial" w:cs="Arial"/>
                        </w:rPr>
                        <w:t xml:space="preserve">and split </w:t>
                      </w:r>
                      <w:r w:rsidRPr="006D6942">
                        <w:rPr>
                          <w:rFonts w:ascii="Arial" w:hAnsi="Arial" w:cs="Arial"/>
                        </w:rPr>
                        <w:t>between LTE and NR</w:t>
                      </w:r>
                      <w:r>
                        <w:rPr>
                          <w:rFonts w:ascii="Arial" w:hAnsi="Arial" w:cs="Arial"/>
                        </w:rPr>
                        <w:t xml:space="preserve"> by eNB/gNB? </w:t>
                      </w:r>
                    </w:p>
                  </w:txbxContent>
                </v:textbox>
                <w10:anchorlock/>
              </v:shape>
            </w:pict>
          </mc:Fallback>
        </mc:AlternateContent>
      </w:r>
    </w:p>
    <w:p w14:paraId="3DA5DA1E" w14:textId="77777777" w:rsidR="004C6942" w:rsidRDefault="004C6942" w:rsidP="004C6942">
      <w:pPr>
        <w:rPr>
          <w:rFonts w:eastAsia="MS Mincho"/>
          <w:lang w:eastAsia="ja-JP"/>
        </w:rPr>
      </w:pPr>
    </w:p>
    <w:p w14:paraId="1EAD833F" w14:textId="77777777" w:rsidR="004C6942" w:rsidRDefault="004C6942" w:rsidP="004C6942">
      <w:pPr>
        <w:rPr>
          <w:rFonts w:eastAsia="MS Mincho"/>
          <w:lang w:val="en-US" w:eastAsia="ja-JP"/>
        </w:rPr>
      </w:pPr>
      <w:r>
        <w:rPr>
          <w:rFonts w:eastAsia="MS Mincho"/>
          <w:lang w:val="en-US" w:eastAsia="ja-JP"/>
        </w:rPr>
        <w:lastRenderedPageBreak/>
        <w:t>Two possible architectures for managing the LTE and NR HARQ soft buffers can be envisoned, one where the soft buffers are not shared, and another where the LTE and NR soft buffers are pooled together.</w:t>
      </w:r>
    </w:p>
    <w:p w14:paraId="0190D345" w14:textId="77777777" w:rsidR="004C6942" w:rsidRDefault="004C6942" w:rsidP="004C6942">
      <w:pPr>
        <w:rPr>
          <w:rFonts w:eastAsia="MS Mincho"/>
          <w:lang w:val="en-US" w:eastAsia="ja-JP"/>
        </w:rPr>
      </w:pPr>
      <w:r>
        <w:rPr>
          <w:rFonts w:eastAsia="MS Mincho"/>
          <w:lang w:val="en-US" w:eastAsia="ja-JP"/>
        </w:rPr>
        <w:t>The case where the soft buffers are not shared the handling is straight forward, the UE processing capability that depends on the HARQ buffer size on the LTE side and on the NR side is indifferent to whether or not the UE is configured to operate in LTE-NR dual connectivity mode.</w:t>
      </w:r>
    </w:p>
    <w:p w14:paraId="2C05A734" w14:textId="6DEC9EB9" w:rsidR="004C6942" w:rsidRDefault="004C6942" w:rsidP="004C6942">
      <w:pPr>
        <w:rPr>
          <w:rFonts w:eastAsia="MS Mincho"/>
          <w:lang w:val="en-US" w:eastAsia="ja-JP"/>
        </w:rPr>
      </w:pPr>
      <w:r>
        <w:rPr>
          <w:rFonts w:eastAsia="MS Mincho"/>
          <w:lang w:val="en-US" w:eastAsia="ja-JP"/>
        </w:rPr>
        <w:t>The case where the LTE and NR use the same soft memory pool may require some additional consideration that RAN1 should indicate to RAN2. The pooled HARQ memory question is tightly related to the soft memory partitioning model between NR HARQ processes. If the dynamic HARQ buffer management between NR HARQ processes is agreed, then it may be possible to dynamically share the soft memory across LTE and NR HARQ processes as well. If a more semi-static memory allocation between NR HARQ processes is taken as the basis, then one cannot assume dynamic pooling between LTE and NR</w:t>
      </w:r>
    </w:p>
    <w:p w14:paraId="6FEC4503" w14:textId="77777777" w:rsidR="004C6942" w:rsidRDefault="004C6942" w:rsidP="004C6942">
      <w:pPr>
        <w:rPr>
          <w:i/>
          <w:lang w:val="en-US"/>
        </w:rPr>
      </w:pPr>
      <w:r>
        <w:rPr>
          <w:rFonts w:eastAsia="MS Mincho"/>
          <w:lang w:val="en-US" w:eastAsia="ja-JP"/>
        </w:rPr>
        <w:t xml:space="preserve">In both cases, the actually available soft memory for a given HARQ process at a given time instant does not need to be known to the transmitter, and the actually implemented memory size and allocation flexibility is an UE implementation matter. The knowledge needed in the eNB and in the gNB, that may need to change based on the LTE-NR dual connectivity status and potentially the LTE and NR configuration (carrier BW, maximum modulation order, maximum MIMO layers, the usage of carrier aggregation etc.), and this dependency between the LTE and NR may exist whether or not the UE is pooling its soft buffer between the RATs or implementing a fixed soft buffer for each RAT. </w:t>
      </w:r>
    </w:p>
    <w:p w14:paraId="66D1E347" w14:textId="6ABB55F2" w:rsidR="004C6942" w:rsidRDefault="004C6942" w:rsidP="004C6942">
      <w:pPr>
        <w:spacing w:after="200" w:line="276" w:lineRule="auto"/>
        <w:jc w:val="both"/>
        <w:rPr>
          <w:i/>
          <w:lang w:val="en-US"/>
        </w:rPr>
      </w:pPr>
      <w:r w:rsidRPr="00E541B0">
        <w:rPr>
          <w:b/>
          <w:bCs/>
          <w:lang w:val="en-US"/>
        </w:rPr>
        <w:t xml:space="preserve">Proposal </w:t>
      </w:r>
      <w:r>
        <w:rPr>
          <w:b/>
          <w:bCs/>
          <w:lang w:val="en-US"/>
        </w:rPr>
        <w:t>#</w:t>
      </w:r>
      <w:r w:rsidR="00647CA9">
        <w:rPr>
          <w:b/>
          <w:bCs/>
          <w:lang w:val="en-US"/>
        </w:rPr>
        <w:t>6</w:t>
      </w:r>
      <w:r w:rsidRPr="00E541B0">
        <w:rPr>
          <w:b/>
          <w:bCs/>
          <w:lang w:val="en-US"/>
        </w:rPr>
        <w:t xml:space="preserve">: </w:t>
      </w:r>
      <w:r>
        <w:rPr>
          <w:i/>
          <w:lang w:val="en-US"/>
        </w:rPr>
        <w:t>The HARQ soft buffer pooling between LTE and NR is an UE implementation matter and the UE capability design should not need to be aware of it.</w:t>
      </w:r>
    </w:p>
    <w:p w14:paraId="1D090B90" w14:textId="4DC3F129" w:rsidR="004C6942" w:rsidRDefault="004C6942" w:rsidP="004C6942">
      <w:pPr>
        <w:spacing w:after="200" w:line="276" w:lineRule="auto"/>
        <w:jc w:val="both"/>
        <w:rPr>
          <w:i/>
          <w:lang w:val="en-US"/>
        </w:rPr>
      </w:pPr>
      <w:r w:rsidRPr="00E541B0">
        <w:rPr>
          <w:b/>
          <w:bCs/>
          <w:lang w:val="en-US"/>
        </w:rPr>
        <w:t xml:space="preserve">Proposal </w:t>
      </w:r>
      <w:r>
        <w:rPr>
          <w:b/>
          <w:bCs/>
          <w:lang w:val="en-US"/>
        </w:rPr>
        <w:t>#</w:t>
      </w:r>
      <w:r w:rsidR="00647CA9">
        <w:rPr>
          <w:b/>
          <w:bCs/>
          <w:lang w:val="en-US"/>
        </w:rPr>
        <w:t>7</w:t>
      </w:r>
      <w:r w:rsidRPr="00E541B0">
        <w:rPr>
          <w:b/>
          <w:bCs/>
          <w:lang w:val="en-US"/>
        </w:rPr>
        <w:t xml:space="preserve">: </w:t>
      </w:r>
      <w:r w:rsidR="00647CA9">
        <w:rPr>
          <w:i/>
          <w:lang w:val="en-US"/>
        </w:rPr>
        <w:t xml:space="preserve">Generally independent </w:t>
      </w:r>
      <w:r w:rsidR="00876ECE">
        <w:rPr>
          <w:i/>
          <w:lang w:val="en-US"/>
        </w:rPr>
        <w:t xml:space="preserve">LTE and NR capabilities </w:t>
      </w:r>
      <w:r w:rsidR="00647CA9">
        <w:rPr>
          <w:i/>
          <w:lang w:val="en-US"/>
        </w:rPr>
        <w:t>are preferred, i.e. the capabilities remain unchanged</w:t>
      </w:r>
      <w:r w:rsidR="00B05244">
        <w:rPr>
          <w:i/>
          <w:lang w:val="en-US"/>
        </w:rPr>
        <w:t xml:space="preserve"> regardless of whether the UE operates in LTE, in NR or in LTE-NR DC mode</w:t>
      </w:r>
      <w:r w:rsidR="00876ECE">
        <w:rPr>
          <w:i/>
          <w:lang w:val="en-US"/>
        </w:rPr>
        <w:t xml:space="preserve">. </w:t>
      </w:r>
    </w:p>
    <w:p w14:paraId="56EEF9CE" w14:textId="22F78C71" w:rsidR="004C6942" w:rsidRDefault="00B05244" w:rsidP="00F64AFE">
      <w:pPr>
        <w:spacing w:after="200" w:line="276" w:lineRule="auto"/>
        <w:jc w:val="both"/>
        <w:rPr>
          <w:i/>
          <w:lang w:val="en-US"/>
        </w:rPr>
      </w:pPr>
      <w:r>
        <w:rPr>
          <w:b/>
          <w:bCs/>
          <w:lang w:val="en-US"/>
        </w:rPr>
        <w:t>Proposal #</w:t>
      </w:r>
      <w:r w:rsidR="00647CA9">
        <w:rPr>
          <w:b/>
          <w:bCs/>
          <w:lang w:val="en-US"/>
        </w:rPr>
        <w:t>8</w:t>
      </w:r>
      <w:r w:rsidRPr="00E541B0">
        <w:rPr>
          <w:b/>
          <w:bCs/>
          <w:lang w:val="en-US"/>
        </w:rPr>
        <w:t xml:space="preserve">: </w:t>
      </w:r>
      <w:r w:rsidR="00647CA9">
        <w:rPr>
          <w:i/>
          <w:lang w:val="en-US"/>
        </w:rPr>
        <w:t xml:space="preserve">If there is a clear benefit in joint capabilities in the UE implementations, the two should remain as independent as possible. E.g. the change in LTE configuration should not impact the NR capability and vice versa. </w:t>
      </w:r>
    </w:p>
    <w:p w14:paraId="0963BE29" w14:textId="44F3146A" w:rsidR="00BD667F" w:rsidRDefault="00BD667F" w:rsidP="00BD667F">
      <w:pPr>
        <w:pStyle w:val="Heading1"/>
      </w:pPr>
      <w:r>
        <w:rPr>
          <w:color w:val="000000"/>
        </w:rPr>
        <w:t>4</w:t>
      </w:r>
      <w:r w:rsidRPr="00A51522">
        <w:rPr>
          <w:color w:val="000000"/>
        </w:rPr>
        <w:tab/>
      </w:r>
      <w:r>
        <w:t>Limited Buffer Rate Matching</w:t>
      </w:r>
    </w:p>
    <w:p w14:paraId="082CB000" w14:textId="7CF562DA" w:rsidR="00BD667F" w:rsidRDefault="00BD667F" w:rsidP="00BD667F">
      <w:pPr>
        <w:overflowPunct/>
        <w:autoSpaceDE/>
        <w:autoSpaceDN/>
        <w:adjustRightInd/>
        <w:spacing w:after="0"/>
        <w:textAlignment w:val="auto"/>
        <w:rPr>
          <w:rFonts w:eastAsia="MS Mincho"/>
          <w:lang w:eastAsia="ja-JP"/>
        </w:rPr>
      </w:pPr>
      <w:r>
        <w:rPr>
          <w:rFonts w:eastAsia="MS Mincho"/>
          <w:lang w:eastAsia="ja-JP"/>
        </w:rPr>
        <w:t xml:space="preserve">As dicussed in [7], the usage of limited buffer rate matching on the large TBs leads to performance degradation. In addition handling the rate matching differently for UEs with different maximum TB capability leads to additional system complexity. As the </w:t>
      </w:r>
      <w:r w:rsidR="009F07BF">
        <w:rPr>
          <w:rFonts w:eastAsia="MS Mincho"/>
          <w:lang w:eastAsia="ja-JP"/>
        </w:rPr>
        <w:t>decode buffer can be separated from the actual UE soft buffer, the following proposal echoing [7] is made:</w:t>
      </w:r>
    </w:p>
    <w:p w14:paraId="3C5ADCFF" w14:textId="77777777" w:rsidR="00BD667F" w:rsidRDefault="00BD667F" w:rsidP="00BD667F">
      <w:pPr>
        <w:overflowPunct/>
        <w:autoSpaceDE/>
        <w:autoSpaceDN/>
        <w:adjustRightInd/>
        <w:spacing w:after="0"/>
        <w:textAlignment w:val="auto"/>
        <w:rPr>
          <w:rFonts w:eastAsia="MS Mincho"/>
          <w:lang w:eastAsia="ja-JP"/>
        </w:rPr>
      </w:pPr>
    </w:p>
    <w:p w14:paraId="0DD384D3" w14:textId="5525927B" w:rsidR="00647CA9" w:rsidRDefault="00BD667F" w:rsidP="00BD667F">
      <w:pPr>
        <w:overflowPunct/>
        <w:autoSpaceDE/>
        <w:autoSpaceDN/>
        <w:adjustRightInd/>
        <w:spacing w:after="0"/>
        <w:textAlignment w:val="auto"/>
        <w:rPr>
          <w:i/>
          <w:lang w:val="en-US"/>
        </w:rPr>
      </w:pPr>
      <w:r w:rsidRPr="00EC405E">
        <w:rPr>
          <w:rFonts w:eastAsia="MS Mincho"/>
          <w:b/>
          <w:lang w:eastAsia="ja-JP"/>
        </w:rPr>
        <w:t xml:space="preserve">Proposal </w:t>
      </w:r>
      <w:r w:rsidR="009F07BF" w:rsidRPr="00EC405E">
        <w:rPr>
          <w:rFonts w:eastAsia="MS Mincho"/>
          <w:b/>
          <w:lang w:eastAsia="ja-JP"/>
        </w:rPr>
        <w:t>#9:</w:t>
      </w:r>
      <w:r w:rsidRPr="00BD667F">
        <w:rPr>
          <w:rFonts w:eastAsia="MS Mincho"/>
          <w:lang w:eastAsia="ja-JP"/>
        </w:rPr>
        <w:t xml:space="preserve"> </w:t>
      </w:r>
      <w:r w:rsidRPr="00EC405E">
        <w:rPr>
          <w:rFonts w:eastAsia="MS Mincho"/>
          <w:i/>
          <w:lang w:eastAsia="ja-JP"/>
        </w:rPr>
        <w:t>Limited buffer rate matching is not used in NR. Both transmit buffer and decode buffer support the mother code rate of the LDPC code.</w:t>
      </w:r>
      <w:r>
        <w:rPr>
          <w:rFonts w:eastAsia="MS Mincho"/>
          <w:lang w:eastAsia="ja-JP"/>
        </w:rPr>
        <w:t xml:space="preserve"> </w:t>
      </w:r>
      <w:r w:rsidR="00647CA9">
        <w:rPr>
          <w:i/>
          <w:lang w:val="en-US"/>
        </w:rPr>
        <w:br w:type="page"/>
      </w:r>
    </w:p>
    <w:p w14:paraId="0F3A208F" w14:textId="77777777" w:rsidR="00647CA9" w:rsidRDefault="00647CA9" w:rsidP="00F64AFE">
      <w:pPr>
        <w:spacing w:after="200" w:line="276" w:lineRule="auto"/>
        <w:jc w:val="both"/>
        <w:rPr>
          <w:i/>
          <w:lang w:val="en-US"/>
        </w:rPr>
      </w:pPr>
    </w:p>
    <w:p w14:paraId="4D1833FB" w14:textId="2995D99B" w:rsidR="0034111C" w:rsidRDefault="00BD667F">
      <w:pPr>
        <w:pStyle w:val="Heading1"/>
        <w:rPr>
          <w:color w:val="000000"/>
        </w:rPr>
      </w:pPr>
      <w:r>
        <w:rPr>
          <w:color w:val="000000"/>
        </w:rPr>
        <w:t>5</w:t>
      </w:r>
      <w:r w:rsidR="0034111C" w:rsidRPr="00A51522">
        <w:rPr>
          <w:color w:val="000000"/>
        </w:rPr>
        <w:tab/>
      </w:r>
      <w:r w:rsidR="00EE7FA7" w:rsidRPr="00A51522">
        <w:rPr>
          <w:color w:val="000000"/>
        </w:rPr>
        <w:t>Conclusion</w:t>
      </w:r>
      <w:r w:rsidR="00DB39D4" w:rsidRPr="00A51522">
        <w:rPr>
          <w:color w:val="000000"/>
        </w:rPr>
        <w:t>s</w:t>
      </w:r>
    </w:p>
    <w:p w14:paraId="10BED68F" w14:textId="68453A6A" w:rsidR="00F64AFE" w:rsidRDefault="00F64AFE" w:rsidP="00F64AFE">
      <w:r>
        <w:t>In this contribution the following proposals related to the number of HARQ processes and UE HARQ soft buffer relation to the peak data rate support are made:</w:t>
      </w:r>
    </w:p>
    <w:p w14:paraId="2C0F20CF" w14:textId="77777777" w:rsidR="00D44AC4" w:rsidRDefault="00D44AC4" w:rsidP="00D44AC4">
      <w:pPr>
        <w:spacing w:after="200" w:line="276" w:lineRule="auto"/>
        <w:jc w:val="both"/>
        <w:rPr>
          <w:i/>
          <w:lang w:val="en-US"/>
        </w:rPr>
      </w:pPr>
      <w:r w:rsidRPr="00E541B0">
        <w:rPr>
          <w:b/>
          <w:bCs/>
          <w:lang w:val="en-US"/>
        </w:rPr>
        <w:t xml:space="preserve">Proposal </w:t>
      </w:r>
      <w:r>
        <w:rPr>
          <w:b/>
          <w:bCs/>
          <w:lang w:val="en-US"/>
        </w:rPr>
        <w:t>#1</w:t>
      </w:r>
      <w:r w:rsidRPr="00E541B0">
        <w:rPr>
          <w:b/>
          <w:bCs/>
          <w:lang w:val="en-US"/>
        </w:rPr>
        <w:t xml:space="preserve">: </w:t>
      </w:r>
      <w:r w:rsidRPr="00E541B0">
        <w:rPr>
          <w:i/>
          <w:lang w:val="en-US"/>
        </w:rPr>
        <w:t xml:space="preserve">The </w:t>
      </w:r>
      <w:r>
        <w:rPr>
          <w:i/>
          <w:lang w:val="en-US"/>
        </w:rPr>
        <w:t xml:space="preserve">maximum </w:t>
      </w:r>
      <w:r w:rsidRPr="00E541B0">
        <w:rPr>
          <w:i/>
          <w:lang w:val="en-US"/>
        </w:rPr>
        <w:t xml:space="preserve">number of </w:t>
      </w:r>
      <w:r>
        <w:rPr>
          <w:i/>
          <w:lang w:val="en-US"/>
        </w:rPr>
        <w:t xml:space="preserve">supported </w:t>
      </w:r>
      <w:r w:rsidRPr="00E541B0">
        <w:rPr>
          <w:i/>
          <w:lang w:val="en-US"/>
        </w:rPr>
        <w:t xml:space="preserve">HARQ processes </w:t>
      </w:r>
      <w:r>
        <w:rPr>
          <w:i/>
          <w:lang w:val="en-US"/>
        </w:rPr>
        <w:t>per carrier and per MIMO CW is common to all UEs capable of supporting mobile broadband services, and the value is fixed in the specification.</w:t>
      </w:r>
    </w:p>
    <w:p w14:paraId="5B6A6DA7" w14:textId="77777777" w:rsidR="00D44AC4" w:rsidRDefault="00D44AC4" w:rsidP="00D44AC4">
      <w:pPr>
        <w:spacing w:after="200" w:line="276" w:lineRule="auto"/>
        <w:jc w:val="both"/>
        <w:rPr>
          <w:i/>
          <w:lang w:val="en-US"/>
        </w:rPr>
      </w:pPr>
      <w:r w:rsidRPr="00E541B0">
        <w:rPr>
          <w:b/>
          <w:bCs/>
          <w:lang w:val="en-US"/>
        </w:rPr>
        <w:t xml:space="preserve">Proposal </w:t>
      </w:r>
      <w:r>
        <w:rPr>
          <w:b/>
          <w:bCs/>
          <w:lang w:val="en-US"/>
        </w:rPr>
        <w:t>#2</w:t>
      </w:r>
      <w:r w:rsidRPr="00E541B0">
        <w:rPr>
          <w:b/>
          <w:bCs/>
          <w:lang w:val="en-US"/>
        </w:rPr>
        <w:t xml:space="preserve">: </w:t>
      </w:r>
      <w:r>
        <w:rPr>
          <w:i/>
          <w:lang w:val="en-US"/>
        </w:rPr>
        <w:t>Assume that at least some UEs are able to dynamically allocate soft buffer memory to HARQ processes on a need basis</w:t>
      </w:r>
    </w:p>
    <w:p w14:paraId="1CFD9250" w14:textId="77777777" w:rsidR="00D44AC4" w:rsidRDefault="00D44AC4" w:rsidP="00D44AC4">
      <w:pPr>
        <w:spacing w:after="200" w:line="276" w:lineRule="auto"/>
        <w:jc w:val="both"/>
        <w:rPr>
          <w:i/>
          <w:lang w:val="en-US"/>
        </w:rPr>
      </w:pPr>
      <w:r w:rsidRPr="00E541B0">
        <w:rPr>
          <w:b/>
          <w:bCs/>
          <w:lang w:val="en-US"/>
        </w:rPr>
        <w:t xml:space="preserve">Proposal </w:t>
      </w:r>
      <w:r>
        <w:rPr>
          <w:b/>
          <w:bCs/>
          <w:lang w:val="en-US"/>
        </w:rPr>
        <w:t>#3</w:t>
      </w:r>
      <w:r w:rsidRPr="00E541B0">
        <w:rPr>
          <w:b/>
          <w:bCs/>
          <w:lang w:val="en-US"/>
        </w:rPr>
        <w:t xml:space="preserve">: </w:t>
      </w:r>
      <w:r>
        <w:rPr>
          <w:i/>
          <w:lang w:val="en-US"/>
        </w:rPr>
        <w:t xml:space="preserve">If it is not possible to assume </w:t>
      </w:r>
      <w:r w:rsidRPr="00150836">
        <w:rPr>
          <w:i/>
          <w:lang w:val="en-US"/>
        </w:rPr>
        <w:t>that all UEs are able to</w:t>
      </w:r>
      <w:r>
        <w:rPr>
          <w:i/>
          <w:lang w:val="en-US"/>
        </w:rPr>
        <w:t xml:space="preserve"> dynamically allocate soft buffer, t</w:t>
      </w:r>
      <w:r w:rsidRPr="00E541B0">
        <w:rPr>
          <w:i/>
          <w:lang w:val="en-US"/>
        </w:rPr>
        <w:t>he number of HARQ pro</w:t>
      </w:r>
      <w:r>
        <w:rPr>
          <w:i/>
          <w:lang w:val="en-US"/>
        </w:rPr>
        <w:t>cesses used in downlink per carrier and per MIMO CW is</w:t>
      </w:r>
      <w:r w:rsidRPr="00E541B0">
        <w:rPr>
          <w:i/>
          <w:lang w:val="en-US"/>
        </w:rPr>
        <w:t xml:space="preserve"> configurable semi-statically</w:t>
      </w:r>
    </w:p>
    <w:p w14:paraId="46E2B717" w14:textId="77777777" w:rsidR="00D44AC4" w:rsidRDefault="00D44AC4" w:rsidP="00D44AC4">
      <w:pPr>
        <w:spacing w:after="200" w:line="276" w:lineRule="auto"/>
        <w:jc w:val="both"/>
        <w:rPr>
          <w:i/>
          <w:lang w:val="en-US"/>
        </w:rPr>
      </w:pPr>
      <w:r>
        <w:rPr>
          <w:b/>
          <w:bCs/>
          <w:lang w:val="en-US"/>
        </w:rPr>
        <w:t>Proposal #4</w:t>
      </w:r>
      <w:r w:rsidRPr="00E541B0">
        <w:rPr>
          <w:b/>
          <w:bCs/>
          <w:lang w:val="en-US"/>
        </w:rPr>
        <w:t xml:space="preserve">: </w:t>
      </w:r>
      <w:r>
        <w:rPr>
          <w:i/>
          <w:lang w:val="en-US"/>
        </w:rPr>
        <w:t>T</w:t>
      </w:r>
      <w:r w:rsidRPr="00E541B0">
        <w:rPr>
          <w:i/>
          <w:lang w:val="en-US"/>
        </w:rPr>
        <w:t xml:space="preserve">he </w:t>
      </w:r>
      <w:r>
        <w:rPr>
          <w:i/>
          <w:lang w:val="en-US"/>
        </w:rPr>
        <w:t>maximum TB size</w:t>
      </w:r>
      <w:r w:rsidRPr="00CD6E97">
        <w:rPr>
          <w:i/>
          <w:lang w:val="en-US"/>
        </w:rPr>
        <w:t xml:space="preserve"> the UE </w:t>
      </w:r>
      <w:r>
        <w:rPr>
          <w:i/>
          <w:lang w:val="en-US"/>
        </w:rPr>
        <w:t xml:space="preserve">can be transmitted to </w:t>
      </w:r>
      <w:r w:rsidRPr="00CD6E97">
        <w:rPr>
          <w:i/>
          <w:lang w:val="en-US"/>
        </w:rPr>
        <w:t>is the same regardless of the number of configured HARQ processes</w:t>
      </w:r>
    </w:p>
    <w:p w14:paraId="0296D7C2" w14:textId="7BFFE729" w:rsidR="00D44AC4" w:rsidRDefault="00D44AC4" w:rsidP="00D44AC4">
      <w:pPr>
        <w:spacing w:after="200" w:line="276" w:lineRule="auto"/>
        <w:jc w:val="both"/>
        <w:rPr>
          <w:i/>
          <w:lang w:val="en-US"/>
        </w:rPr>
      </w:pPr>
      <w:r w:rsidRPr="00E541B0">
        <w:rPr>
          <w:b/>
          <w:bCs/>
          <w:lang w:val="en-US"/>
        </w:rPr>
        <w:t>Proposal</w:t>
      </w:r>
      <w:r>
        <w:rPr>
          <w:b/>
          <w:bCs/>
          <w:lang w:val="en-US"/>
        </w:rPr>
        <w:t xml:space="preserve"> #5</w:t>
      </w:r>
      <w:r w:rsidRPr="00E541B0">
        <w:rPr>
          <w:b/>
          <w:bCs/>
          <w:lang w:val="en-US"/>
        </w:rPr>
        <w:t xml:space="preserve">: </w:t>
      </w:r>
      <w:r>
        <w:rPr>
          <w:i/>
          <w:lang w:val="en-US"/>
        </w:rPr>
        <w:t>T</w:t>
      </w:r>
      <w:r w:rsidRPr="00E541B0">
        <w:rPr>
          <w:i/>
          <w:lang w:val="en-US"/>
        </w:rPr>
        <w:t xml:space="preserve">he </w:t>
      </w:r>
      <w:r>
        <w:rPr>
          <w:i/>
          <w:lang w:val="en-US"/>
        </w:rPr>
        <w:t>UE’s soft combining performance may be reduced when a large number of HARQ processes is configured and the UE is scheduled continuously with (close to) peak data rate</w:t>
      </w:r>
    </w:p>
    <w:p w14:paraId="3B97A600" w14:textId="77777777" w:rsidR="00647CA9" w:rsidRDefault="00647CA9" w:rsidP="00D44AC4">
      <w:pPr>
        <w:spacing w:after="200" w:line="276" w:lineRule="auto"/>
        <w:jc w:val="both"/>
        <w:rPr>
          <w:lang w:val="en-US"/>
        </w:rPr>
      </w:pPr>
    </w:p>
    <w:p w14:paraId="235416B1" w14:textId="147730CB" w:rsidR="00647CA9" w:rsidRDefault="00647CA9" w:rsidP="00D44AC4">
      <w:pPr>
        <w:spacing w:after="200" w:line="276" w:lineRule="auto"/>
        <w:jc w:val="both"/>
        <w:rPr>
          <w:lang w:val="en-US"/>
        </w:rPr>
      </w:pPr>
      <w:r>
        <w:rPr>
          <w:lang w:val="en-US"/>
        </w:rPr>
        <w:t>Further the following proposals related to the joint LTE-NR capabilities are made:</w:t>
      </w:r>
    </w:p>
    <w:p w14:paraId="5B2D9AE9" w14:textId="77777777" w:rsidR="00647CA9" w:rsidRDefault="00647CA9" w:rsidP="00647CA9">
      <w:pPr>
        <w:spacing w:after="200" w:line="276" w:lineRule="auto"/>
        <w:jc w:val="both"/>
        <w:rPr>
          <w:i/>
          <w:lang w:val="en-US"/>
        </w:rPr>
      </w:pPr>
      <w:r w:rsidRPr="00E541B0">
        <w:rPr>
          <w:b/>
          <w:bCs/>
          <w:lang w:val="en-US"/>
        </w:rPr>
        <w:t xml:space="preserve">Proposal </w:t>
      </w:r>
      <w:r>
        <w:rPr>
          <w:b/>
          <w:bCs/>
          <w:lang w:val="en-US"/>
        </w:rPr>
        <w:t>#6</w:t>
      </w:r>
      <w:r w:rsidRPr="00E541B0">
        <w:rPr>
          <w:b/>
          <w:bCs/>
          <w:lang w:val="en-US"/>
        </w:rPr>
        <w:t xml:space="preserve">: </w:t>
      </w:r>
      <w:r>
        <w:rPr>
          <w:i/>
          <w:lang w:val="en-US"/>
        </w:rPr>
        <w:t>The HARQ soft buffer pooling between LTE and NR is an UE implementation matter and the UE capability design should not need to be aware of it.</w:t>
      </w:r>
    </w:p>
    <w:p w14:paraId="7F9CB535" w14:textId="77777777" w:rsidR="00647CA9" w:rsidRDefault="00647CA9" w:rsidP="00647CA9">
      <w:pPr>
        <w:spacing w:after="200" w:line="276" w:lineRule="auto"/>
        <w:jc w:val="both"/>
        <w:rPr>
          <w:i/>
          <w:lang w:val="en-US"/>
        </w:rPr>
      </w:pPr>
      <w:r w:rsidRPr="00E541B0">
        <w:rPr>
          <w:b/>
          <w:bCs/>
          <w:lang w:val="en-US"/>
        </w:rPr>
        <w:t xml:space="preserve">Proposal </w:t>
      </w:r>
      <w:r>
        <w:rPr>
          <w:b/>
          <w:bCs/>
          <w:lang w:val="en-US"/>
        </w:rPr>
        <w:t>#7</w:t>
      </w:r>
      <w:r w:rsidRPr="00E541B0">
        <w:rPr>
          <w:b/>
          <w:bCs/>
          <w:lang w:val="en-US"/>
        </w:rPr>
        <w:t xml:space="preserve">: </w:t>
      </w:r>
      <w:r>
        <w:rPr>
          <w:i/>
          <w:lang w:val="en-US"/>
        </w:rPr>
        <w:t xml:space="preserve">Generally independent LTE and NR capabilities are preferred, i.e. the capabilities remain unchanged regardless of whether the UE operates in LTE, in NR or in LTE-NR DC mode. </w:t>
      </w:r>
    </w:p>
    <w:p w14:paraId="39E0A6EB" w14:textId="77777777" w:rsidR="00647CA9" w:rsidRDefault="00647CA9" w:rsidP="00647CA9">
      <w:pPr>
        <w:spacing w:after="200" w:line="276" w:lineRule="auto"/>
        <w:jc w:val="both"/>
        <w:rPr>
          <w:i/>
          <w:lang w:val="en-US"/>
        </w:rPr>
      </w:pPr>
      <w:r>
        <w:rPr>
          <w:b/>
          <w:bCs/>
          <w:lang w:val="en-US"/>
        </w:rPr>
        <w:t>Proposal #8</w:t>
      </w:r>
      <w:r w:rsidRPr="00E541B0">
        <w:rPr>
          <w:b/>
          <w:bCs/>
          <w:lang w:val="en-US"/>
        </w:rPr>
        <w:t xml:space="preserve">: </w:t>
      </w:r>
      <w:r>
        <w:rPr>
          <w:i/>
          <w:lang w:val="en-US"/>
        </w:rPr>
        <w:t xml:space="preserve">If there is a clear benefit in joint capabilities in the UE implementations, the two should remain as independent as possible. E.g. the change in LTE configuration should not impact the NR capability and vice versa. </w:t>
      </w:r>
    </w:p>
    <w:p w14:paraId="4FE9E61C" w14:textId="5A72FEBF" w:rsidR="00647CA9" w:rsidRDefault="00647CA9" w:rsidP="00D44AC4">
      <w:pPr>
        <w:spacing w:after="200" w:line="276" w:lineRule="auto"/>
        <w:jc w:val="both"/>
        <w:rPr>
          <w:lang w:val="en-US"/>
        </w:rPr>
      </w:pPr>
    </w:p>
    <w:p w14:paraId="08A3B8B6" w14:textId="5DDAFBEA" w:rsidR="009F07BF" w:rsidRDefault="009F07BF" w:rsidP="00D44AC4">
      <w:pPr>
        <w:spacing w:after="200" w:line="276" w:lineRule="auto"/>
        <w:jc w:val="both"/>
        <w:rPr>
          <w:lang w:val="en-US"/>
        </w:rPr>
      </w:pPr>
      <w:r>
        <w:rPr>
          <w:lang w:val="en-US"/>
        </w:rPr>
        <w:t>Finally, the following proposal on limited buffer rate matching is made:</w:t>
      </w:r>
    </w:p>
    <w:p w14:paraId="7AE920D5" w14:textId="5C9D91F3" w:rsidR="009F07BF" w:rsidRPr="00647CA9" w:rsidRDefault="009F07BF" w:rsidP="00D44AC4">
      <w:pPr>
        <w:spacing w:after="200" w:line="276" w:lineRule="auto"/>
        <w:jc w:val="both"/>
        <w:rPr>
          <w:lang w:val="en-US"/>
        </w:rPr>
      </w:pPr>
      <w:r w:rsidRPr="009B351A">
        <w:rPr>
          <w:rFonts w:eastAsia="MS Mincho"/>
          <w:b/>
          <w:lang w:eastAsia="ja-JP"/>
        </w:rPr>
        <w:t>Proposal #9:</w:t>
      </w:r>
      <w:r w:rsidRPr="00BD667F">
        <w:rPr>
          <w:rFonts w:eastAsia="MS Mincho"/>
          <w:lang w:eastAsia="ja-JP"/>
        </w:rPr>
        <w:t xml:space="preserve"> </w:t>
      </w:r>
      <w:r w:rsidRPr="009B351A">
        <w:rPr>
          <w:rFonts w:eastAsia="MS Mincho"/>
          <w:i/>
          <w:lang w:eastAsia="ja-JP"/>
        </w:rPr>
        <w:t>Limited buffer rate matching is not used in NR. Both transmit buffer and decode buffer support the mother code rate of the LDPC code.</w:t>
      </w:r>
    </w:p>
    <w:p w14:paraId="16558D07" w14:textId="77777777" w:rsidR="0034111C" w:rsidRPr="00A51522" w:rsidRDefault="0034111C">
      <w:pPr>
        <w:pStyle w:val="Heading1"/>
      </w:pPr>
      <w:r w:rsidRPr="00A51522">
        <w:t>References</w:t>
      </w:r>
      <w:r w:rsidR="00A2459D" w:rsidRPr="00A51522">
        <w:t xml:space="preserve"> </w:t>
      </w:r>
    </w:p>
    <w:p w14:paraId="6B0FF054" w14:textId="77777777" w:rsidR="00055676" w:rsidRPr="00013455" w:rsidRDefault="00055676" w:rsidP="006F0914">
      <w:pPr>
        <w:numPr>
          <w:ilvl w:val="0"/>
          <w:numId w:val="1"/>
        </w:numPr>
        <w:spacing w:after="120"/>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5D83AC7E" w14:textId="1CF17BED" w:rsidR="00A12B8F" w:rsidRDefault="00A12B8F" w:rsidP="00A12B8F">
      <w:pPr>
        <w:numPr>
          <w:ilvl w:val="0"/>
          <w:numId w:val="1"/>
        </w:numPr>
        <w:rPr>
          <w:sz w:val="18"/>
        </w:rPr>
      </w:pPr>
      <w:r w:rsidRPr="009019C9">
        <w:rPr>
          <w:sz w:val="18"/>
        </w:rPr>
        <w:t>RP-170847, “</w:t>
      </w:r>
      <w:r w:rsidRPr="009019C9">
        <w:rPr>
          <w:i/>
          <w:sz w:val="18"/>
          <w:lang w:eastAsia="zh-CN"/>
        </w:rPr>
        <w:t>New WID on New Radio Access Technology</w:t>
      </w:r>
      <w:r w:rsidRPr="009019C9">
        <w:rPr>
          <w:sz w:val="18"/>
        </w:rPr>
        <w:t xml:space="preserve">”, </w:t>
      </w:r>
      <w:r w:rsidRPr="009019C9">
        <w:rPr>
          <w:sz w:val="18"/>
          <w:lang w:eastAsia="zh-CN"/>
        </w:rPr>
        <w:t>NTT DoCoMo</w:t>
      </w:r>
    </w:p>
    <w:p w14:paraId="790289B9" w14:textId="77777777" w:rsidR="004C6942" w:rsidRDefault="004C6942" w:rsidP="004C6942">
      <w:pPr>
        <w:numPr>
          <w:ilvl w:val="0"/>
          <w:numId w:val="1"/>
        </w:numPr>
        <w:spacing w:after="120"/>
        <w:rPr>
          <w:sz w:val="18"/>
        </w:rPr>
      </w:pPr>
      <w:r w:rsidRPr="00617882">
        <w:rPr>
          <w:sz w:val="18"/>
        </w:rPr>
        <w:t>R1-1700290</w:t>
      </w:r>
      <w:r>
        <w:rPr>
          <w:sz w:val="18"/>
        </w:rPr>
        <w:t>/</w:t>
      </w:r>
      <w:r w:rsidRPr="00617882">
        <w:rPr>
          <w:sz w:val="18"/>
        </w:rPr>
        <w:t>R2-168961</w:t>
      </w:r>
      <w:r>
        <w:rPr>
          <w:sz w:val="18"/>
        </w:rPr>
        <w:t>, “</w:t>
      </w:r>
      <w:r w:rsidRPr="00617882">
        <w:rPr>
          <w:i/>
          <w:sz w:val="18"/>
        </w:rPr>
        <w:t>LS on UE capability aspects for LTE/NR tight interworking</w:t>
      </w:r>
      <w:r>
        <w:rPr>
          <w:sz w:val="18"/>
        </w:rPr>
        <w:t xml:space="preserve">”, </w:t>
      </w:r>
      <w:r w:rsidRPr="00617882">
        <w:rPr>
          <w:sz w:val="18"/>
        </w:rPr>
        <w:t>RAN2</w:t>
      </w:r>
    </w:p>
    <w:p w14:paraId="716A7F75" w14:textId="77777777" w:rsidR="004C6942" w:rsidRDefault="004C6942" w:rsidP="004C6942">
      <w:pPr>
        <w:numPr>
          <w:ilvl w:val="0"/>
          <w:numId w:val="1"/>
        </w:numPr>
        <w:spacing w:after="120"/>
        <w:rPr>
          <w:sz w:val="18"/>
        </w:rPr>
      </w:pPr>
      <w:r>
        <w:rPr>
          <w:sz w:val="18"/>
        </w:rPr>
        <w:t>R1-1701487, “</w:t>
      </w:r>
      <w:r w:rsidRPr="00617882">
        <w:rPr>
          <w:sz w:val="18"/>
        </w:rPr>
        <w:t>Response LS on UE capability aspects for LTE/NR tight interworking</w:t>
      </w:r>
      <w:r>
        <w:rPr>
          <w:sz w:val="18"/>
        </w:rPr>
        <w:t>”, RAN1</w:t>
      </w:r>
    </w:p>
    <w:p w14:paraId="772BE9DE" w14:textId="4881FEB1" w:rsidR="004C6942" w:rsidRPr="004C6942" w:rsidRDefault="004C6942" w:rsidP="004C6942">
      <w:pPr>
        <w:numPr>
          <w:ilvl w:val="0"/>
          <w:numId w:val="1"/>
        </w:numPr>
        <w:spacing w:after="120"/>
        <w:rPr>
          <w:sz w:val="18"/>
        </w:rPr>
      </w:pPr>
      <w:r w:rsidRPr="00970C26">
        <w:rPr>
          <w:sz w:val="18"/>
          <w:lang w:eastAsia="zh-CN"/>
        </w:rPr>
        <w:t>R1-1712039</w:t>
      </w:r>
      <w:r>
        <w:rPr>
          <w:sz w:val="18"/>
          <w:lang w:eastAsia="zh-CN"/>
        </w:rPr>
        <w:t>/R2-1707505</w:t>
      </w:r>
      <w:r w:rsidRPr="00013455">
        <w:rPr>
          <w:sz w:val="18"/>
          <w:lang w:eastAsia="zh-CN"/>
        </w:rPr>
        <w:t>, “</w:t>
      </w:r>
      <w:r>
        <w:rPr>
          <w:i/>
          <w:sz w:val="18"/>
          <w:lang w:eastAsia="zh-CN"/>
        </w:rPr>
        <w:t>LS on shared baseband capabilities for MR-DC</w:t>
      </w:r>
      <w:r w:rsidRPr="00013455">
        <w:rPr>
          <w:sz w:val="18"/>
          <w:lang w:eastAsia="zh-CN"/>
        </w:rPr>
        <w:t xml:space="preserve">”, </w:t>
      </w:r>
      <w:r>
        <w:rPr>
          <w:sz w:val="18"/>
          <w:lang w:eastAsia="zh-CN"/>
        </w:rPr>
        <w:t>RAN2</w:t>
      </w:r>
    </w:p>
    <w:p w14:paraId="09EC16D3" w14:textId="7FD4BCF9" w:rsidR="007F375E" w:rsidRDefault="0093500F" w:rsidP="004C6942">
      <w:pPr>
        <w:numPr>
          <w:ilvl w:val="0"/>
          <w:numId w:val="1"/>
        </w:numPr>
        <w:spacing w:after="120"/>
        <w:rPr>
          <w:sz w:val="18"/>
        </w:rPr>
      </w:pPr>
      <w:r w:rsidRPr="0093500F">
        <w:rPr>
          <w:sz w:val="18"/>
        </w:rPr>
        <w:t>R1-171</w:t>
      </w:r>
      <w:r w:rsidR="004C6942">
        <w:rPr>
          <w:sz w:val="18"/>
        </w:rPr>
        <w:t>5546</w:t>
      </w:r>
      <w:r w:rsidR="007F375E" w:rsidRPr="0093500F">
        <w:rPr>
          <w:sz w:val="18"/>
        </w:rPr>
        <w:t>, “</w:t>
      </w:r>
      <w:r w:rsidR="004C6942" w:rsidRPr="004C6942">
        <w:rPr>
          <w:i/>
          <w:sz w:val="18"/>
        </w:rPr>
        <w:t>On the open aspects of HARQ management</w:t>
      </w:r>
      <w:r w:rsidR="00071F82">
        <w:rPr>
          <w:sz w:val="18"/>
        </w:rPr>
        <w:t>”, Nokia, Nokia Shanghai Bell</w:t>
      </w:r>
    </w:p>
    <w:p w14:paraId="1F62A9D9" w14:textId="31C0EA69" w:rsidR="00BD667F" w:rsidRPr="007F375E" w:rsidRDefault="00BD667F" w:rsidP="00BD667F">
      <w:pPr>
        <w:numPr>
          <w:ilvl w:val="0"/>
          <w:numId w:val="1"/>
        </w:numPr>
        <w:spacing w:after="120"/>
        <w:rPr>
          <w:sz w:val="18"/>
        </w:rPr>
      </w:pPr>
      <w:r>
        <w:rPr>
          <w:sz w:val="18"/>
        </w:rPr>
        <w:t>R1-1716598, “</w:t>
      </w:r>
      <w:r w:rsidRPr="00EC405E">
        <w:rPr>
          <w:i/>
          <w:sz w:val="18"/>
        </w:rPr>
        <w:t>On Transmit, Decode and Soft Buffers</w:t>
      </w:r>
      <w:r>
        <w:rPr>
          <w:sz w:val="18"/>
        </w:rPr>
        <w:t>”, Ericsson</w:t>
      </w:r>
    </w:p>
    <w:sectPr w:rsidR="00BD667F" w:rsidRPr="007F375E"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2739A0" w14:textId="77777777" w:rsidR="0045034D" w:rsidRDefault="0045034D">
      <w:r>
        <w:separator/>
      </w:r>
    </w:p>
  </w:endnote>
  <w:endnote w:type="continuationSeparator" w:id="0">
    <w:p w14:paraId="1630722C" w14:textId="77777777" w:rsidR="0045034D" w:rsidRDefault="00450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modern"/>
    <w:pitch w:val="fixed"/>
    <w:sig w:usb0="00000000"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3E13E9" w14:textId="77777777" w:rsidR="0045034D" w:rsidRDefault="0045034D">
      <w:r>
        <w:separator/>
      </w:r>
    </w:p>
  </w:footnote>
  <w:footnote w:type="continuationSeparator" w:id="0">
    <w:p w14:paraId="2A71D8E6" w14:textId="77777777" w:rsidR="0045034D" w:rsidRDefault="004503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B74AD"/>
    <w:multiLevelType w:val="hybridMultilevel"/>
    <w:tmpl w:val="E9A2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01B6D"/>
    <w:multiLevelType w:val="hybridMultilevel"/>
    <w:tmpl w:val="77B6FA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1E5440E"/>
    <w:multiLevelType w:val="hybridMultilevel"/>
    <w:tmpl w:val="770E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5E26FE"/>
    <w:multiLevelType w:val="hybridMultilevel"/>
    <w:tmpl w:val="1ED65F16"/>
    <w:lvl w:ilvl="0" w:tplc="53C41DB4">
      <w:start w:val="1"/>
      <w:numFmt w:val="bullet"/>
      <w:lvlText w:val="•"/>
      <w:lvlJc w:val="left"/>
      <w:pPr>
        <w:tabs>
          <w:tab w:val="num" w:pos="720"/>
        </w:tabs>
        <w:ind w:left="720" w:hanging="360"/>
      </w:pPr>
      <w:rPr>
        <w:rFonts w:ascii="Arial" w:hAnsi="Arial" w:cs="Times New Roman" w:hint="default"/>
      </w:rPr>
    </w:lvl>
    <w:lvl w:ilvl="1" w:tplc="C3EA90F8">
      <w:start w:val="52"/>
      <w:numFmt w:val="bullet"/>
      <w:lvlText w:val=""/>
      <w:lvlJc w:val="left"/>
      <w:pPr>
        <w:tabs>
          <w:tab w:val="num" w:pos="1440"/>
        </w:tabs>
        <w:ind w:left="1440" w:hanging="360"/>
      </w:pPr>
      <w:rPr>
        <w:rFonts w:ascii="Wingdings" w:hAnsi="Wingdings" w:hint="default"/>
      </w:rPr>
    </w:lvl>
    <w:lvl w:ilvl="2" w:tplc="F33A9952">
      <w:start w:val="1"/>
      <w:numFmt w:val="bullet"/>
      <w:lvlText w:val="•"/>
      <w:lvlJc w:val="left"/>
      <w:pPr>
        <w:tabs>
          <w:tab w:val="num" w:pos="2160"/>
        </w:tabs>
        <w:ind w:left="2160" w:hanging="360"/>
      </w:pPr>
      <w:rPr>
        <w:rFonts w:ascii="Arial" w:hAnsi="Arial" w:cs="Times New Roman" w:hint="default"/>
      </w:rPr>
    </w:lvl>
    <w:lvl w:ilvl="3" w:tplc="6E1487E8">
      <w:start w:val="1"/>
      <w:numFmt w:val="bullet"/>
      <w:lvlText w:val="•"/>
      <w:lvlJc w:val="left"/>
      <w:pPr>
        <w:tabs>
          <w:tab w:val="num" w:pos="2880"/>
        </w:tabs>
        <w:ind w:left="2880" w:hanging="360"/>
      </w:pPr>
      <w:rPr>
        <w:rFonts w:ascii="Arial" w:hAnsi="Arial" w:cs="Times New Roman" w:hint="default"/>
      </w:rPr>
    </w:lvl>
    <w:lvl w:ilvl="4" w:tplc="575CBF48">
      <w:start w:val="1"/>
      <w:numFmt w:val="bullet"/>
      <w:lvlText w:val="•"/>
      <w:lvlJc w:val="left"/>
      <w:pPr>
        <w:tabs>
          <w:tab w:val="num" w:pos="3600"/>
        </w:tabs>
        <w:ind w:left="3600" w:hanging="360"/>
      </w:pPr>
      <w:rPr>
        <w:rFonts w:ascii="Arial" w:hAnsi="Arial" w:cs="Times New Roman" w:hint="default"/>
      </w:rPr>
    </w:lvl>
    <w:lvl w:ilvl="5" w:tplc="BCC8FA8E">
      <w:start w:val="1"/>
      <w:numFmt w:val="bullet"/>
      <w:lvlText w:val="•"/>
      <w:lvlJc w:val="left"/>
      <w:pPr>
        <w:tabs>
          <w:tab w:val="num" w:pos="4320"/>
        </w:tabs>
        <w:ind w:left="4320" w:hanging="360"/>
      </w:pPr>
      <w:rPr>
        <w:rFonts w:ascii="Arial" w:hAnsi="Arial" w:cs="Times New Roman" w:hint="default"/>
      </w:rPr>
    </w:lvl>
    <w:lvl w:ilvl="6" w:tplc="C72C9CEC">
      <w:start w:val="1"/>
      <w:numFmt w:val="bullet"/>
      <w:lvlText w:val="•"/>
      <w:lvlJc w:val="left"/>
      <w:pPr>
        <w:tabs>
          <w:tab w:val="num" w:pos="5040"/>
        </w:tabs>
        <w:ind w:left="5040" w:hanging="360"/>
      </w:pPr>
      <w:rPr>
        <w:rFonts w:ascii="Arial" w:hAnsi="Arial" w:cs="Times New Roman" w:hint="default"/>
      </w:rPr>
    </w:lvl>
    <w:lvl w:ilvl="7" w:tplc="8E780E80">
      <w:start w:val="1"/>
      <w:numFmt w:val="bullet"/>
      <w:lvlText w:val="•"/>
      <w:lvlJc w:val="left"/>
      <w:pPr>
        <w:tabs>
          <w:tab w:val="num" w:pos="5760"/>
        </w:tabs>
        <w:ind w:left="5760" w:hanging="360"/>
      </w:pPr>
      <w:rPr>
        <w:rFonts w:ascii="Arial" w:hAnsi="Arial" w:cs="Times New Roman" w:hint="default"/>
      </w:rPr>
    </w:lvl>
    <w:lvl w:ilvl="8" w:tplc="B44C79F0">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5931BF"/>
    <w:multiLevelType w:val="hybridMultilevel"/>
    <w:tmpl w:val="4C5E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9807B6"/>
    <w:multiLevelType w:val="hybridMultilevel"/>
    <w:tmpl w:val="22A6B4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D6D4705"/>
    <w:multiLevelType w:val="hybridMultilevel"/>
    <w:tmpl w:val="BBA424D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56D65"/>
    <w:multiLevelType w:val="hybridMultilevel"/>
    <w:tmpl w:val="8974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153726"/>
    <w:multiLevelType w:val="hybridMultilevel"/>
    <w:tmpl w:val="D4E86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7B2617C"/>
    <w:multiLevelType w:val="hybridMultilevel"/>
    <w:tmpl w:val="5FD29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0903CA"/>
    <w:multiLevelType w:val="hybridMultilevel"/>
    <w:tmpl w:val="29D8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204580F"/>
    <w:multiLevelType w:val="hybridMultilevel"/>
    <w:tmpl w:val="E22A1214"/>
    <w:lvl w:ilvl="0" w:tplc="C8F25F3E">
      <w:start w:val="1"/>
      <w:numFmt w:val="bullet"/>
      <w:lvlText w:val="•"/>
      <w:lvlJc w:val="left"/>
      <w:pPr>
        <w:tabs>
          <w:tab w:val="num" w:pos="720"/>
        </w:tabs>
        <w:ind w:left="720" w:hanging="360"/>
      </w:pPr>
      <w:rPr>
        <w:rFonts w:ascii="Arial" w:hAnsi="Arial" w:hint="default"/>
      </w:rPr>
    </w:lvl>
    <w:lvl w:ilvl="1" w:tplc="36A84B20">
      <w:numFmt w:val="bullet"/>
      <w:lvlText w:val="–"/>
      <w:lvlJc w:val="left"/>
      <w:pPr>
        <w:tabs>
          <w:tab w:val="num" w:pos="1440"/>
        </w:tabs>
        <w:ind w:left="1440" w:hanging="360"/>
      </w:pPr>
      <w:rPr>
        <w:rFonts w:ascii="Arial" w:hAnsi="Arial" w:hint="default"/>
      </w:rPr>
    </w:lvl>
    <w:lvl w:ilvl="2" w:tplc="8D347C68">
      <w:start w:val="1"/>
      <w:numFmt w:val="bullet"/>
      <w:lvlText w:val="•"/>
      <w:lvlJc w:val="left"/>
      <w:pPr>
        <w:tabs>
          <w:tab w:val="num" w:pos="2160"/>
        </w:tabs>
        <w:ind w:left="2160" w:hanging="360"/>
      </w:pPr>
      <w:rPr>
        <w:rFonts w:ascii="Arial" w:hAnsi="Arial" w:hint="default"/>
      </w:rPr>
    </w:lvl>
    <w:lvl w:ilvl="3" w:tplc="3F7E5888" w:tentative="1">
      <w:start w:val="1"/>
      <w:numFmt w:val="bullet"/>
      <w:lvlText w:val="•"/>
      <w:lvlJc w:val="left"/>
      <w:pPr>
        <w:tabs>
          <w:tab w:val="num" w:pos="2880"/>
        </w:tabs>
        <w:ind w:left="2880" w:hanging="360"/>
      </w:pPr>
      <w:rPr>
        <w:rFonts w:ascii="Arial" w:hAnsi="Arial" w:hint="default"/>
      </w:rPr>
    </w:lvl>
    <w:lvl w:ilvl="4" w:tplc="E45A1484" w:tentative="1">
      <w:start w:val="1"/>
      <w:numFmt w:val="bullet"/>
      <w:lvlText w:val="•"/>
      <w:lvlJc w:val="left"/>
      <w:pPr>
        <w:tabs>
          <w:tab w:val="num" w:pos="3600"/>
        </w:tabs>
        <w:ind w:left="3600" w:hanging="360"/>
      </w:pPr>
      <w:rPr>
        <w:rFonts w:ascii="Arial" w:hAnsi="Arial" w:hint="default"/>
      </w:rPr>
    </w:lvl>
    <w:lvl w:ilvl="5" w:tplc="71486340" w:tentative="1">
      <w:start w:val="1"/>
      <w:numFmt w:val="bullet"/>
      <w:lvlText w:val="•"/>
      <w:lvlJc w:val="left"/>
      <w:pPr>
        <w:tabs>
          <w:tab w:val="num" w:pos="4320"/>
        </w:tabs>
        <w:ind w:left="4320" w:hanging="360"/>
      </w:pPr>
      <w:rPr>
        <w:rFonts w:ascii="Arial" w:hAnsi="Arial" w:hint="default"/>
      </w:rPr>
    </w:lvl>
    <w:lvl w:ilvl="6" w:tplc="13E21B4A" w:tentative="1">
      <w:start w:val="1"/>
      <w:numFmt w:val="bullet"/>
      <w:lvlText w:val="•"/>
      <w:lvlJc w:val="left"/>
      <w:pPr>
        <w:tabs>
          <w:tab w:val="num" w:pos="5040"/>
        </w:tabs>
        <w:ind w:left="5040" w:hanging="360"/>
      </w:pPr>
      <w:rPr>
        <w:rFonts w:ascii="Arial" w:hAnsi="Arial" w:hint="default"/>
      </w:rPr>
    </w:lvl>
    <w:lvl w:ilvl="7" w:tplc="695E9E12" w:tentative="1">
      <w:start w:val="1"/>
      <w:numFmt w:val="bullet"/>
      <w:lvlText w:val="•"/>
      <w:lvlJc w:val="left"/>
      <w:pPr>
        <w:tabs>
          <w:tab w:val="num" w:pos="5760"/>
        </w:tabs>
        <w:ind w:left="5760" w:hanging="360"/>
      </w:pPr>
      <w:rPr>
        <w:rFonts w:ascii="Arial" w:hAnsi="Arial" w:hint="default"/>
      </w:rPr>
    </w:lvl>
    <w:lvl w:ilvl="8" w:tplc="A4A24BE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4"/>
  </w:num>
  <w:num w:numId="3">
    <w:abstractNumId w:val="12"/>
  </w:num>
  <w:num w:numId="4">
    <w:abstractNumId w:val="10"/>
  </w:num>
  <w:num w:numId="5">
    <w:abstractNumId w:val="27"/>
  </w:num>
  <w:num w:numId="6">
    <w:abstractNumId w:val="8"/>
  </w:num>
  <w:num w:numId="7">
    <w:abstractNumId w:val="25"/>
  </w:num>
  <w:num w:numId="8">
    <w:abstractNumId w:val="21"/>
  </w:num>
  <w:num w:numId="9">
    <w:abstractNumId w:val="26"/>
  </w:num>
  <w:num w:numId="10">
    <w:abstractNumId w:val="15"/>
  </w:num>
  <w:num w:numId="11">
    <w:abstractNumId w:val="0"/>
  </w:num>
  <w:num w:numId="12">
    <w:abstractNumId w:val="11"/>
  </w:num>
  <w:num w:numId="13">
    <w:abstractNumId w:val="16"/>
  </w:num>
  <w:num w:numId="14">
    <w:abstractNumId w:val="5"/>
  </w:num>
  <w:num w:numId="15">
    <w:abstractNumId w:val="23"/>
  </w:num>
  <w:num w:numId="16">
    <w:abstractNumId w:val="19"/>
  </w:num>
  <w:num w:numId="17">
    <w:abstractNumId w:val="14"/>
  </w:num>
  <w:num w:numId="18">
    <w:abstractNumId w:val="29"/>
  </w:num>
  <w:num w:numId="19">
    <w:abstractNumId w:val="7"/>
  </w:num>
  <w:num w:numId="20">
    <w:abstractNumId w:val="22"/>
  </w:num>
  <w:num w:numId="21">
    <w:abstractNumId w:val="6"/>
  </w:num>
  <w:num w:numId="22">
    <w:abstractNumId w:val="20"/>
  </w:num>
  <w:num w:numId="23">
    <w:abstractNumId w:val="18"/>
  </w:num>
  <w:num w:numId="24">
    <w:abstractNumId w:val="1"/>
  </w:num>
  <w:num w:numId="25">
    <w:abstractNumId w:val="24"/>
  </w:num>
  <w:num w:numId="26">
    <w:abstractNumId w:val="9"/>
  </w:num>
  <w:num w:numId="27">
    <w:abstractNumId w:val="2"/>
  </w:num>
  <w:num w:numId="28">
    <w:abstractNumId w:val="3"/>
  </w:num>
  <w:num w:numId="29">
    <w:abstractNumId w:val="28"/>
  </w:num>
  <w:num w:numId="3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4AEF"/>
    <w:rsid w:val="00026C65"/>
    <w:rsid w:val="00027755"/>
    <w:rsid w:val="00030048"/>
    <w:rsid w:val="0003072D"/>
    <w:rsid w:val="000314CD"/>
    <w:rsid w:val="000317D2"/>
    <w:rsid w:val="00033544"/>
    <w:rsid w:val="0003479E"/>
    <w:rsid w:val="00035691"/>
    <w:rsid w:val="0004132D"/>
    <w:rsid w:val="000433EA"/>
    <w:rsid w:val="00044CFA"/>
    <w:rsid w:val="000459C7"/>
    <w:rsid w:val="00046630"/>
    <w:rsid w:val="00046C80"/>
    <w:rsid w:val="0004718B"/>
    <w:rsid w:val="00050112"/>
    <w:rsid w:val="000505CC"/>
    <w:rsid w:val="000511F9"/>
    <w:rsid w:val="00052850"/>
    <w:rsid w:val="000528A2"/>
    <w:rsid w:val="00052BBA"/>
    <w:rsid w:val="00054D9D"/>
    <w:rsid w:val="00055676"/>
    <w:rsid w:val="00056544"/>
    <w:rsid w:val="00060D8E"/>
    <w:rsid w:val="000610E7"/>
    <w:rsid w:val="00063D9E"/>
    <w:rsid w:val="00064AD3"/>
    <w:rsid w:val="00065088"/>
    <w:rsid w:val="000652D3"/>
    <w:rsid w:val="000654A0"/>
    <w:rsid w:val="000707CA"/>
    <w:rsid w:val="00071F82"/>
    <w:rsid w:val="0007205E"/>
    <w:rsid w:val="00072BBA"/>
    <w:rsid w:val="000747F0"/>
    <w:rsid w:val="00075FDA"/>
    <w:rsid w:val="00076386"/>
    <w:rsid w:val="00076D61"/>
    <w:rsid w:val="00076D82"/>
    <w:rsid w:val="00081EC2"/>
    <w:rsid w:val="00083800"/>
    <w:rsid w:val="00084A65"/>
    <w:rsid w:val="0009137C"/>
    <w:rsid w:val="00091A92"/>
    <w:rsid w:val="00093AAD"/>
    <w:rsid w:val="00093C49"/>
    <w:rsid w:val="00095A80"/>
    <w:rsid w:val="000973E1"/>
    <w:rsid w:val="000A0D39"/>
    <w:rsid w:val="000A1402"/>
    <w:rsid w:val="000A20BA"/>
    <w:rsid w:val="000A21D7"/>
    <w:rsid w:val="000A262C"/>
    <w:rsid w:val="000A3C8D"/>
    <w:rsid w:val="000A40EC"/>
    <w:rsid w:val="000A54EE"/>
    <w:rsid w:val="000A6A23"/>
    <w:rsid w:val="000A7BC5"/>
    <w:rsid w:val="000B16DB"/>
    <w:rsid w:val="000B1C5E"/>
    <w:rsid w:val="000B2282"/>
    <w:rsid w:val="000B2A11"/>
    <w:rsid w:val="000B2A5B"/>
    <w:rsid w:val="000B3B91"/>
    <w:rsid w:val="000B4641"/>
    <w:rsid w:val="000B5F0A"/>
    <w:rsid w:val="000C56B1"/>
    <w:rsid w:val="000C74BA"/>
    <w:rsid w:val="000C7531"/>
    <w:rsid w:val="000C7C3F"/>
    <w:rsid w:val="000D0BD6"/>
    <w:rsid w:val="000D0C61"/>
    <w:rsid w:val="000D27AD"/>
    <w:rsid w:val="000D29D1"/>
    <w:rsid w:val="000D2B0A"/>
    <w:rsid w:val="000D3286"/>
    <w:rsid w:val="000D344D"/>
    <w:rsid w:val="000D40E7"/>
    <w:rsid w:val="000D5737"/>
    <w:rsid w:val="000D584F"/>
    <w:rsid w:val="000E071E"/>
    <w:rsid w:val="000E27AA"/>
    <w:rsid w:val="000E3365"/>
    <w:rsid w:val="000E337A"/>
    <w:rsid w:val="000E4350"/>
    <w:rsid w:val="000E4408"/>
    <w:rsid w:val="000E5716"/>
    <w:rsid w:val="000E7A79"/>
    <w:rsid w:val="000F15B2"/>
    <w:rsid w:val="000F19DE"/>
    <w:rsid w:val="000F2E1F"/>
    <w:rsid w:val="000F37B0"/>
    <w:rsid w:val="000F4595"/>
    <w:rsid w:val="000F4CB2"/>
    <w:rsid w:val="000F568D"/>
    <w:rsid w:val="000F77A6"/>
    <w:rsid w:val="00100486"/>
    <w:rsid w:val="00101C4F"/>
    <w:rsid w:val="00102C9F"/>
    <w:rsid w:val="001068D2"/>
    <w:rsid w:val="001103BD"/>
    <w:rsid w:val="00111208"/>
    <w:rsid w:val="00111808"/>
    <w:rsid w:val="0011339F"/>
    <w:rsid w:val="00114E96"/>
    <w:rsid w:val="001204DD"/>
    <w:rsid w:val="00122839"/>
    <w:rsid w:val="001237AC"/>
    <w:rsid w:val="00124E12"/>
    <w:rsid w:val="0012673D"/>
    <w:rsid w:val="001269B8"/>
    <w:rsid w:val="00127099"/>
    <w:rsid w:val="00132421"/>
    <w:rsid w:val="00132B71"/>
    <w:rsid w:val="0013427A"/>
    <w:rsid w:val="001362C2"/>
    <w:rsid w:val="00136955"/>
    <w:rsid w:val="001371B2"/>
    <w:rsid w:val="00137D78"/>
    <w:rsid w:val="001409A0"/>
    <w:rsid w:val="00141F08"/>
    <w:rsid w:val="00141FF2"/>
    <w:rsid w:val="00142DE2"/>
    <w:rsid w:val="00144C87"/>
    <w:rsid w:val="001467B1"/>
    <w:rsid w:val="00150175"/>
    <w:rsid w:val="001502C8"/>
    <w:rsid w:val="00150836"/>
    <w:rsid w:val="0015130F"/>
    <w:rsid w:val="0015565E"/>
    <w:rsid w:val="00155BFD"/>
    <w:rsid w:val="00157390"/>
    <w:rsid w:val="00160998"/>
    <w:rsid w:val="00160CD6"/>
    <w:rsid w:val="0016316A"/>
    <w:rsid w:val="00164171"/>
    <w:rsid w:val="00164E58"/>
    <w:rsid w:val="00165033"/>
    <w:rsid w:val="001670EA"/>
    <w:rsid w:val="001674A0"/>
    <w:rsid w:val="00170389"/>
    <w:rsid w:val="00170A50"/>
    <w:rsid w:val="00174FFD"/>
    <w:rsid w:val="001759CA"/>
    <w:rsid w:val="0017726A"/>
    <w:rsid w:val="00180278"/>
    <w:rsid w:val="001818A7"/>
    <w:rsid w:val="00182725"/>
    <w:rsid w:val="001829C8"/>
    <w:rsid w:val="00186904"/>
    <w:rsid w:val="00186B0A"/>
    <w:rsid w:val="001905BD"/>
    <w:rsid w:val="00192FE6"/>
    <w:rsid w:val="00193986"/>
    <w:rsid w:val="00193B08"/>
    <w:rsid w:val="00194570"/>
    <w:rsid w:val="0019572D"/>
    <w:rsid w:val="00196BF4"/>
    <w:rsid w:val="001972DA"/>
    <w:rsid w:val="001976AA"/>
    <w:rsid w:val="001A08B4"/>
    <w:rsid w:val="001A15C6"/>
    <w:rsid w:val="001A5E19"/>
    <w:rsid w:val="001B01FA"/>
    <w:rsid w:val="001B0832"/>
    <w:rsid w:val="001B18A7"/>
    <w:rsid w:val="001B36FC"/>
    <w:rsid w:val="001B41ED"/>
    <w:rsid w:val="001B4607"/>
    <w:rsid w:val="001B7E0C"/>
    <w:rsid w:val="001C0674"/>
    <w:rsid w:val="001C226F"/>
    <w:rsid w:val="001C66AC"/>
    <w:rsid w:val="001C6754"/>
    <w:rsid w:val="001C77F0"/>
    <w:rsid w:val="001D46A0"/>
    <w:rsid w:val="001D7282"/>
    <w:rsid w:val="001D7CA4"/>
    <w:rsid w:val="001D7E58"/>
    <w:rsid w:val="001E4D4F"/>
    <w:rsid w:val="001E57CF"/>
    <w:rsid w:val="001E5981"/>
    <w:rsid w:val="001E74BA"/>
    <w:rsid w:val="001E7B9F"/>
    <w:rsid w:val="001F01FB"/>
    <w:rsid w:val="001F0658"/>
    <w:rsid w:val="001F0E92"/>
    <w:rsid w:val="001F1987"/>
    <w:rsid w:val="001F1B0B"/>
    <w:rsid w:val="001F23BD"/>
    <w:rsid w:val="001F34DA"/>
    <w:rsid w:val="001F4DAC"/>
    <w:rsid w:val="001F5019"/>
    <w:rsid w:val="001F67AA"/>
    <w:rsid w:val="001F7599"/>
    <w:rsid w:val="00204B3A"/>
    <w:rsid w:val="00204FCD"/>
    <w:rsid w:val="0020535A"/>
    <w:rsid w:val="00206955"/>
    <w:rsid w:val="00210309"/>
    <w:rsid w:val="00212FB8"/>
    <w:rsid w:val="00213709"/>
    <w:rsid w:val="002149AF"/>
    <w:rsid w:val="00214A86"/>
    <w:rsid w:val="00215AAA"/>
    <w:rsid w:val="00217CDF"/>
    <w:rsid w:val="00221985"/>
    <w:rsid w:val="00221EC5"/>
    <w:rsid w:val="00222A7A"/>
    <w:rsid w:val="00224A2C"/>
    <w:rsid w:val="002251A1"/>
    <w:rsid w:val="002256D9"/>
    <w:rsid w:val="0022687C"/>
    <w:rsid w:val="00227A45"/>
    <w:rsid w:val="002306C8"/>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AD6"/>
    <w:rsid w:val="0025208F"/>
    <w:rsid w:val="00252C17"/>
    <w:rsid w:val="0025307F"/>
    <w:rsid w:val="002551BD"/>
    <w:rsid w:val="002568D0"/>
    <w:rsid w:val="00262661"/>
    <w:rsid w:val="002632DF"/>
    <w:rsid w:val="002640BA"/>
    <w:rsid w:val="00264CF2"/>
    <w:rsid w:val="00267587"/>
    <w:rsid w:val="00271589"/>
    <w:rsid w:val="00273177"/>
    <w:rsid w:val="00275074"/>
    <w:rsid w:val="002763E9"/>
    <w:rsid w:val="00276736"/>
    <w:rsid w:val="002830DC"/>
    <w:rsid w:val="00284E32"/>
    <w:rsid w:val="002851EB"/>
    <w:rsid w:val="00285510"/>
    <w:rsid w:val="00285DE2"/>
    <w:rsid w:val="0028616D"/>
    <w:rsid w:val="00286965"/>
    <w:rsid w:val="0029136E"/>
    <w:rsid w:val="00292399"/>
    <w:rsid w:val="00294445"/>
    <w:rsid w:val="00294B4D"/>
    <w:rsid w:val="002960D5"/>
    <w:rsid w:val="002A1062"/>
    <w:rsid w:val="002A2413"/>
    <w:rsid w:val="002A2F5E"/>
    <w:rsid w:val="002A352A"/>
    <w:rsid w:val="002A607D"/>
    <w:rsid w:val="002B132E"/>
    <w:rsid w:val="002B2813"/>
    <w:rsid w:val="002B2D29"/>
    <w:rsid w:val="002C1018"/>
    <w:rsid w:val="002C1EEA"/>
    <w:rsid w:val="002C3EAA"/>
    <w:rsid w:val="002C6034"/>
    <w:rsid w:val="002C635B"/>
    <w:rsid w:val="002C7CFF"/>
    <w:rsid w:val="002D0BC6"/>
    <w:rsid w:val="002D17C5"/>
    <w:rsid w:val="002D2190"/>
    <w:rsid w:val="002D365F"/>
    <w:rsid w:val="002D6113"/>
    <w:rsid w:val="002D7C86"/>
    <w:rsid w:val="002E0692"/>
    <w:rsid w:val="002E1D74"/>
    <w:rsid w:val="002E2943"/>
    <w:rsid w:val="002E2CF1"/>
    <w:rsid w:val="002E34AF"/>
    <w:rsid w:val="002E3767"/>
    <w:rsid w:val="002E408D"/>
    <w:rsid w:val="002E4AAC"/>
    <w:rsid w:val="002E53DE"/>
    <w:rsid w:val="002E563B"/>
    <w:rsid w:val="002E62D2"/>
    <w:rsid w:val="002E6B21"/>
    <w:rsid w:val="002E74AF"/>
    <w:rsid w:val="002E7581"/>
    <w:rsid w:val="002F04AE"/>
    <w:rsid w:val="002F1038"/>
    <w:rsid w:val="002F1B64"/>
    <w:rsid w:val="002F22FF"/>
    <w:rsid w:val="002F2D8F"/>
    <w:rsid w:val="002F695B"/>
    <w:rsid w:val="002F72DA"/>
    <w:rsid w:val="002F76B1"/>
    <w:rsid w:val="002F7D66"/>
    <w:rsid w:val="002F7DBE"/>
    <w:rsid w:val="0030090B"/>
    <w:rsid w:val="00302AE8"/>
    <w:rsid w:val="00302BB1"/>
    <w:rsid w:val="00304210"/>
    <w:rsid w:val="003048D7"/>
    <w:rsid w:val="00304AD1"/>
    <w:rsid w:val="00304AD2"/>
    <w:rsid w:val="003062E6"/>
    <w:rsid w:val="003068B6"/>
    <w:rsid w:val="003071F6"/>
    <w:rsid w:val="0031176E"/>
    <w:rsid w:val="00311C08"/>
    <w:rsid w:val="00312ECE"/>
    <w:rsid w:val="0031393C"/>
    <w:rsid w:val="00313CB0"/>
    <w:rsid w:val="00313F96"/>
    <w:rsid w:val="003150CE"/>
    <w:rsid w:val="003158B7"/>
    <w:rsid w:val="00315AAB"/>
    <w:rsid w:val="00315E1B"/>
    <w:rsid w:val="003175E1"/>
    <w:rsid w:val="00320299"/>
    <w:rsid w:val="00321154"/>
    <w:rsid w:val="003211B0"/>
    <w:rsid w:val="00321EDA"/>
    <w:rsid w:val="003224E7"/>
    <w:rsid w:val="00325D7A"/>
    <w:rsid w:val="00326145"/>
    <w:rsid w:val="00327163"/>
    <w:rsid w:val="00327305"/>
    <w:rsid w:val="00327531"/>
    <w:rsid w:val="00330187"/>
    <w:rsid w:val="00331C77"/>
    <w:rsid w:val="00331F96"/>
    <w:rsid w:val="00332B55"/>
    <w:rsid w:val="00335EA8"/>
    <w:rsid w:val="003363DD"/>
    <w:rsid w:val="00340361"/>
    <w:rsid w:val="00340795"/>
    <w:rsid w:val="0034111C"/>
    <w:rsid w:val="00341E60"/>
    <w:rsid w:val="0034217F"/>
    <w:rsid w:val="00343954"/>
    <w:rsid w:val="00345405"/>
    <w:rsid w:val="00345DDD"/>
    <w:rsid w:val="00346FED"/>
    <w:rsid w:val="003505F1"/>
    <w:rsid w:val="00351E01"/>
    <w:rsid w:val="00352377"/>
    <w:rsid w:val="00352D21"/>
    <w:rsid w:val="0035443D"/>
    <w:rsid w:val="00354FEE"/>
    <w:rsid w:val="0035539E"/>
    <w:rsid w:val="00355831"/>
    <w:rsid w:val="00356C0B"/>
    <w:rsid w:val="00357B9C"/>
    <w:rsid w:val="00361412"/>
    <w:rsid w:val="003615CA"/>
    <w:rsid w:val="003642A6"/>
    <w:rsid w:val="00367337"/>
    <w:rsid w:val="00367FD8"/>
    <w:rsid w:val="00370B63"/>
    <w:rsid w:val="00370FCC"/>
    <w:rsid w:val="003711AF"/>
    <w:rsid w:val="00374848"/>
    <w:rsid w:val="00375D09"/>
    <w:rsid w:val="0037739D"/>
    <w:rsid w:val="0037751C"/>
    <w:rsid w:val="00380F3F"/>
    <w:rsid w:val="00382232"/>
    <w:rsid w:val="00382F1A"/>
    <w:rsid w:val="00383282"/>
    <w:rsid w:val="00383658"/>
    <w:rsid w:val="00383B56"/>
    <w:rsid w:val="00383EB6"/>
    <w:rsid w:val="0038412E"/>
    <w:rsid w:val="00385540"/>
    <w:rsid w:val="00386053"/>
    <w:rsid w:val="0038771D"/>
    <w:rsid w:val="00390AC1"/>
    <w:rsid w:val="00393E44"/>
    <w:rsid w:val="00397AB6"/>
    <w:rsid w:val="00397ACA"/>
    <w:rsid w:val="003A0DA6"/>
    <w:rsid w:val="003A10C3"/>
    <w:rsid w:val="003A419A"/>
    <w:rsid w:val="003A597F"/>
    <w:rsid w:val="003A71A8"/>
    <w:rsid w:val="003B00CA"/>
    <w:rsid w:val="003B030B"/>
    <w:rsid w:val="003B0432"/>
    <w:rsid w:val="003B0821"/>
    <w:rsid w:val="003B0BE9"/>
    <w:rsid w:val="003B2E9B"/>
    <w:rsid w:val="003B2F8D"/>
    <w:rsid w:val="003B3DD0"/>
    <w:rsid w:val="003B4FAA"/>
    <w:rsid w:val="003B547A"/>
    <w:rsid w:val="003B75B9"/>
    <w:rsid w:val="003B77E4"/>
    <w:rsid w:val="003C1A18"/>
    <w:rsid w:val="003C5C41"/>
    <w:rsid w:val="003C7461"/>
    <w:rsid w:val="003D0788"/>
    <w:rsid w:val="003D132A"/>
    <w:rsid w:val="003D1517"/>
    <w:rsid w:val="003D2938"/>
    <w:rsid w:val="003D3FBA"/>
    <w:rsid w:val="003D402B"/>
    <w:rsid w:val="003D764F"/>
    <w:rsid w:val="003E0667"/>
    <w:rsid w:val="003E0BCE"/>
    <w:rsid w:val="003E13E0"/>
    <w:rsid w:val="003E1660"/>
    <w:rsid w:val="003E1CD1"/>
    <w:rsid w:val="003E2A2D"/>
    <w:rsid w:val="003E64A9"/>
    <w:rsid w:val="003E7905"/>
    <w:rsid w:val="003F0336"/>
    <w:rsid w:val="003F5547"/>
    <w:rsid w:val="003F5C40"/>
    <w:rsid w:val="003F6E12"/>
    <w:rsid w:val="003F75ED"/>
    <w:rsid w:val="004002B7"/>
    <w:rsid w:val="00400AD0"/>
    <w:rsid w:val="00400F31"/>
    <w:rsid w:val="00406B4D"/>
    <w:rsid w:val="0041443C"/>
    <w:rsid w:val="004154F7"/>
    <w:rsid w:val="004176FF"/>
    <w:rsid w:val="004241C5"/>
    <w:rsid w:val="00424FA7"/>
    <w:rsid w:val="00426A87"/>
    <w:rsid w:val="004309D8"/>
    <w:rsid w:val="004313D1"/>
    <w:rsid w:val="00432110"/>
    <w:rsid w:val="00433EBE"/>
    <w:rsid w:val="00434406"/>
    <w:rsid w:val="00441B92"/>
    <w:rsid w:val="0044321F"/>
    <w:rsid w:val="0044474B"/>
    <w:rsid w:val="00444F93"/>
    <w:rsid w:val="00445FF7"/>
    <w:rsid w:val="0045034D"/>
    <w:rsid w:val="00452B14"/>
    <w:rsid w:val="00453341"/>
    <w:rsid w:val="004545C6"/>
    <w:rsid w:val="00454DCA"/>
    <w:rsid w:val="00456544"/>
    <w:rsid w:val="00456649"/>
    <w:rsid w:val="004567B7"/>
    <w:rsid w:val="00456856"/>
    <w:rsid w:val="0045714C"/>
    <w:rsid w:val="00461210"/>
    <w:rsid w:val="00462490"/>
    <w:rsid w:val="00465299"/>
    <w:rsid w:val="00466A0F"/>
    <w:rsid w:val="0046795B"/>
    <w:rsid w:val="00471863"/>
    <w:rsid w:val="00473A14"/>
    <w:rsid w:val="00474CA8"/>
    <w:rsid w:val="00474E43"/>
    <w:rsid w:val="00475229"/>
    <w:rsid w:val="00481D90"/>
    <w:rsid w:val="004827D3"/>
    <w:rsid w:val="00482CD4"/>
    <w:rsid w:val="00483261"/>
    <w:rsid w:val="00485B23"/>
    <w:rsid w:val="004874E4"/>
    <w:rsid w:val="0049070D"/>
    <w:rsid w:val="00491DB2"/>
    <w:rsid w:val="00492877"/>
    <w:rsid w:val="00496C97"/>
    <w:rsid w:val="00496DC2"/>
    <w:rsid w:val="00496E75"/>
    <w:rsid w:val="004A014C"/>
    <w:rsid w:val="004A015B"/>
    <w:rsid w:val="004A0AA8"/>
    <w:rsid w:val="004A1FE4"/>
    <w:rsid w:val="004A2CA9"/>
    <w:rsid w:val="004A3CB5"/>
    <w:rsid w:val="004A537D"/>
    <w:rsid w:val="004A67F0"/>
    <w:rsid w:val="004A71C3"/>
    <w:rsid w:val="004A7769"/>
    <w:rsid w:val="004B15E2"/>
    <w:rsid w:val="004B23AD"/>
    <w:rsid w:val="004B2965"/>
    <w:rsid w:val="004B4224"/>
    <w:rsid w:val="004B45B5"/>
    <w:rsid w:val="004B4647"/>
    <w:rsid w:val="004B7455"/>
    <w:rsid w:val="004B74FF"/>
    <w:rsid w:val="004B7CE4"/>
    <w:rsid w:val="004C0401"/>
    <w:rsid w:val="004C14B3"/>
    <w:rsid w:val="004C183D"/>
    <w:rsid w:val="004C3EEE"/>
    <w:rsid w:val="004C483D"/>
    <w:rsid w:val="004C6942"/>
    <w:rsid w:val="004C7948"/>
    <w:rsid w:val="004C795A"/>
    <w:rsid w:val="004C7F93"/>
    <w:rsid w:val="004D201D"/>
    <w:rsid w:val="004D26B8"/>
    <w:rsid w:val="004D38C2"/>
    <w:rsid w:val="004D4FBD"/>
    <w:rsid w:val="004D4FC0"/>
    <w:rsid w:val="004D7DA8"/>
    <w:rsid w:val="004E2892"/>
    <w:rsid w:val="004E362B"/>
    <w:rsid w:val="004E3681"/>
    <w:rsid w:val="004E3D74"/>
    <w:rsid w:val="004E784B"/>
    <w:rsid w:val="004F0224"/>
    <w:rsid w:val="004F0DB4"/>
    <w:rsid w:val="004F0E04"/>
    <w:rsid w:val="004F182A"/>
    <w:rsid w:val="004F1EBC"/>
    <w:rsid w:val="004F3659"/>
    <w:rsid w:val="004F3B71"/>
    <w:rsid w:val="004F5154"/>
    <w:rsid w:val="004F5835"/>
    <w:rsid w:val="004F661C"/>
    <w:rsid w:val="004F6D99"/>
    <w:rsid w:val="00500572"/>
    <w:rsid w:val="00501304"/>
    <w:rsid w:val="00501425"/>
    <w:rsid w:val="005030E7"/>
    <w:rsid w:val="00504311"/>
    <w:rsid w:val="0050485C"/>
    <w:rsid w:val="00504AC6"/>
    <w:rsid w:val="00506FCA"/>
    <w:rsid w:val="00511079"/>
    <w:rsid w:val="00512829"/>
    <w:rsid w:val="00513449"/>
    <w:rsid w:val="0051423C"/>
    <w:rsid w:val="00514C91"/>
    <w:rsid w:val="00516241"/>
    <w:rsid w:val="00516FD9"/>
    <w:rsid w:val="0051791D"/>
    <w:rsid w:val="00520727"/>
    <w:rsid w:val="00523E75"/>
    <w:rsid w:val="005243E0"/>
    <w:rsid w:val="005256F3"/>
    <w:rsid w:val="005265A3"/>
    <w:rsid w:val="00526783"/>
    <w:rsid w:val="005277B9"/>
    <w:rsid w:val="00527FB1"/>
    <w:rsid w:val="005308FE"/>
    <w:rsid w:val="0053162F"/>
    <w:rsid w:val="00531777"/>
    <w:rsid w:val="0053281C"/>
    <w:rsid w:val="005340C9"/>
    <w:rsid w:val="005375FE"/>
    <w:rsid w:val="005420DE"/>
    <w:rsid w:val="00543707"/>
    <w:rsid w:val="00543EBB"/>
    <w:rsid w:val="00544213"/>
    <w:rsid w:val="005453F3"/>
    <w:rsid w:val="00545549"/>
    <w:rsid w:val="005469F5"/>
    <w:rsid w:val="005518ED"/>
    <w:rsid w:val="00552093"/>
    <w:rsid w:val="00554E4B"/>
    <w:rsid w:val="00555F67"/>
    <w:rsid w:val="005606A4"/>
    <w:rsid w:val="005607B8"/>
    <w:rsid w:val="00560CF5"/>
    <w:rsid w:val="00561792"/>
    <w:rsid w:val="0056272D"/>
    <w:rsid w:val="0056308E"/>
    <w:rsid w:val="005649BF"/>
    <w:rsid w:val="005650ED"/>
    <w:rsid w:val="00565869"/>
    <w:rsid w:val="00567415"/>
    <w:rsid w:val="00567610"/>
    <w:rsid w:val="00570D9F"/>
    <w:rsid w:val="00571CA8"/>
    <w:rsid w:val="00580793"/>
    <w:rsid w:val="00581470"/>
    <w:rsid w:val="00582087"/>
    <w:rsid w:val="005831DD"/>
    <w:rsid w:val="00584320"/>
    <w:rsid w:val="00587229"/>
    <w:rsid w:val="00587503"/>
    <w:rsid w:val="00590E8D"/>
    <w:rsid w:val="00591511"/>
    <w:rsid w:val="0059331A"/>
    <w:rsid w:val="00596BBA"/>
    <w:rsid w:val="005975C4"/>
    <w:rsid w:val="00597ED8"/>
    <w:rsid w:val="005A2E77"/>
    <w:rsid w:val="005A34D5"/>
    <w:rsid w:val="005A3A3E"/>
    <w:rsid w:val="005A4904"/>
    <w:rsid w:val="005A515A"/>
    <w:rsid w:val="005A704D"/>
    <w:rsid w:val="005B3C6D"/>
    <w:rsid w:val="005B609E"/>
    <w:rsid w:val="005B6DF6"/>
    <w:rsid w:val="005B7B7D"/>
    <w:rsid w:val="005C1948"/>
    <w:rsid w:val="005C263C"/>
    <w:rsid w:val="005C2679"/>
    <w:rsid w:val="005D07C5"/>
    <w:rsid w:val="005D1161"/>
    <w:rsid w:val="005D4302"/>
    <w:rsid w:val="005D5A20"/>
    <w:rsid w:val="005D5F19"/>
    <w:rsid w:val="005D6C09"/>
    <w:rsid w:val="005D786C"/>
    <w:rsid w:val="005E049F"/>
    <w:rsid w:val="005E3073"/>
    <w:rsid w:val="005E316A"/>
    <w:rsid w:val="005E57D6"/>
    <w:rsid w:val="005F0108"/>
    <w:rsid w:val="005F0ECC"/>
    <w:rsid w:val="005F21A5"/>
    <w:rsid w:val="005F2470"/>
    <w:rsid w:val="005F28C6"/>
    <w:rsid w:val="005F3F16"/>
    <w:rsid w:val="005F52CC"/>
    <w:rsid w:val="005F6BD4"/>
    <w:rsid w:val="005F7985"/>
    <w:rsid w:val="00600CEB"/>
    <w:rsid w:val="00601D86"/>
    <w:rsid w:val="00602AA1"/>
    <w:rsid w:val="00604367"/>
    <w:rsid w:val="006044BE"/>
    <w:rsid w:val="0060475F"/>
    <w:rsid w:val="00606A26"/>
    <w:rsid w:val="00607D81"/>
    <w:rsid w:val="00610747"/>
    <w:rsid w:val="0061176E"/>
    <w:rsid w:val="00614CD1"/>
    <w:rsid w:val="0061567B"/>
    <w:rsid w:val="0062152A"/>
    <w:rsid w:val="00623583"/>
    <w:rsid w:val="0062462F"/>
    <w:rsid w:val="00624BA1"/>
    <w:rsid w:val="0062661B"/>
    <w:rsid w:val="006276B8"/>
    <w:rsid w:val="00630118"/>
    <w:rsid w:val="006310AE"/>
    <w:rsid w:val="00632196"/>
    <w:rsid w:val="00633BF2"/>
    <w:rsid w:val="00633F67"/>
    <w:rsid w:val="006345C3"/>
    <w:rsid w:val="00635120"/>
    <w:rsid w:val="006351BE"/>
    <w:rsid w:val="006362F9"/>
    <w:rsid w:val="00636449"/>
    <w:rsid w:val="006373CD"/>
    <w:rsid w:val="0064165D"/>
    <w:rsid w:val="006433BD"/>
    <w:rsid w:val="00643784"/>
    <w:rsid w:val="00644A21"/>
    <w:rsid w:val="00645C9F"/>
    <w:rsid w:val="00646A6C"/>
    <w:rsid w:val="00647CA9"/>
    <w:rsid w:val="006508B9"/>
    <w:rsid w:val="00650CA1"/>
    <w:rsid w:val="00651854"/>
    <w:rsid w:val="006565D8"/>
    <w:rsid w:val="00656B96"/>
    <w:rsid w:val="00657AE5"/>
    <w:rsid w:val="006619B0"/>
    <w:rsid w:val="00662012"/>
    <w:rsid w:val="00662543"/>
    <w:rsid w:val="006626D0"/>
    <w:rsid w:val="00664E8C"/>
    <w:rsid w:val="00665F7C"/>
    <w:rsid w:val="00666DFC"/>
    <w:rsid w:val="00666EBB"/>
    <w:rsid w:val="0066779E"/>
    <w:rsid w:val="0067269D"/>
    <w:rsid w:val="00672988"/>
    <w:rsid w:val="00674E6A"/>
    <w:rsid w:val="00676A64"/>
    <w:rsid w:val="00677925"/>
    <w:rsid w:val="00680F46"/>
    <w:rsid w:val="00681E7A"/>
    <w:rsid w:val="00682B53"/>
    <w:rsid w:val="00682F27"/>
    <w:rsid w:val="00686F6F"/>
    <w:rsid w:val="00690E2E"/>
    <w:rsid w:val="006932E7"/>
    <w:rsid w:val="00693347"/>
    <w:rsid w:val="0069334C"/>
    <w:rsid w:val="00696D63"/>
    <w:rsid w:val="006A032F"/>
    <w:rsid w:val="006A1D91"/>
    <w:rsid w:val="006A41AE"/>
    <w:rsid w:val="006A4856"/>
    <w:rsid w:val="006A564B"/>
    <w:rsid w:val="006B1545"/>
    <w:rsid w:val="006B2DA7"/>
    <w:rsid w:val="006B2F4D"/>
    <w:rsid w:val="006B3682"/>
    <w:rsid w:val="006B4498"/>
    <w:rsid w:val="006B48CB"/>
    <w:rsid w:val="006B4DB2"/>
    <w:rsid w:val="006C1445"/>
    <w:rsid w:val="006C4FC1"/>
    <w:rsid w:val="006C529D"/>
    <w:rsid w:val="006D0E6B"/>
    <w:rsid w:val="006D2146"/>
    <w:rsid w:val="006D5BCA"/>
    <w:rsid w:val="006E094A"/>
    <w:rsid w:val="006E12B1"/>
    <w:rsid w:val="006E13D1"/>
    <w:rsid w:val="006E4D0C"/>
    <w:rsid w:val="006E5B78"/>
    <w:rsid w:val="006E6BA3"/>
    <w:rsid w:val="006F0914"/>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04E43"/>
    <w:rsid w:val="00705A22"/>
    <w:rsid w:val="007069BE"/>
    <w:rsid w:val="0071118B"/>
    <w:rsid w:val="00711E13"/>
    <w:rsid w:val="00712EDA"/>
    <w:rsid w:val="007136D0"/>
    <w:rsid w:val="007155A9"/>
    <w:rsid w:val="007158E1"/>
    <w:rsid w:val="00715D07"/>
    <w:rsid w:val="0071705B"/>
    <w:rsid w:val="00720505"/>
    <w:rsid w:val="007236A3"/>
    <w:rsid w:val="007239B6"/>
    <w:rsid w:val="0072490A"/>
    <w:rsid w:val="0072517D"/>
    <w:rsid w:val="00726533"/>
    <w:rsid w:val="00726878"/>
    <w:rsid w:val="0073124A"/>
    <w:rsid w:val="00733893"/>
    <w:rsid w:val="00734A05"/>
    <w:rsid w:val="00735C6F"/>
    <w:rsid w:val="00753BB5"/>
    <w:rsid w:val="00756832"/>
    <w:rsid w:val="007618DE"/>
    <w:rsid w:val="007626D0"/>
    <w:rsid w:val="007633BC"/>
    <w:rsid w:val="007651CA"/>
    <w:rsid w:val="00767519"/>
    <w:rsid w:val="007704E1"/>
    <w:rsid w:val="00772569"/>
    <w:rsid w:val="00772E8C"/>
    <w:rsid w:val="007736D3"/>
    <w:rsid w:val="0077500F"/>
    <w:rsid w:val="0077548E"/>
    <w:rsid w:val="00777315"/>
    <w:rsid w:val="00780919"/>
    <w:rsid w:val="007826C8"/>
    <w:rsid w:val="00784190"/>
    <w:rsid w:val="0078457B"/>
    <w:rsid w:val="00784756"/>
    <w:rsid w:val="00784C55"/>
    <w:rsid w:val="0078539D"/>
    <w:rsid w:val="007856C1"/>
    <w:rsid w:val="00787051"/>
    <w:rsid w:val="0079018D"/>
    <w:rsid w:val="00791A00"/>
    <w:rsid w:val="00792CEE"/>
    <w:rsid w:val="007A138F"/>
    <w:rsid w:val="007A1640"/>
    <w:rsid w:val="007A39DF"/>
    <w:rsid w:val="007A43ED"/>
    <w:rsid w:val="007A4BDD"/>
    <w:rsid w:val="007A72EE"/>
    <w:rsid w:val="007B0397"/>
    <w:rsid w:val="007B128D"/>
    <w:rsid w:val="007B3502"/>
    <w:rsid w:val="007B44ED"/>
    <w:rsid w:val="007B491A"/>
    <w:rsid w:val="007B5370"/>
    <w:rsid w:val="007B61F5"/>
    <w:rsid w:val="007B63FA"/>
    <w:rsid w:val="007B67BD"/>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ABC"/>
    <w:rsid w:val="007D5E27"/>
    <w:rsid w:val="007D6F64"/>
    <w:rsid w:val="007E79C5"/>
    <w:rsid w:val="007F2635"/>
    <w:rsid w:val="007F375E"/>
    <w:rsid w:val="007F43BC"/>
    <w:rsid w:val="007F4740"/>
    <w:rsid w:val="008006C6"/>
    <w:rsid w:val="0080153E"/>
    <w:rsid w:val="0080742D"/>
    <w:rsid w:val="0081151E"/>
    <w:rsid w:val="00812498"/>
    <w:rsid w:val="008127E6"/>
    <w:rsid w:val="0081336E"/>
    <w:rsid w:val="00813928"/>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307ED"/>
    <w:rsid w:val="0083350F"/>
    <w:rsid w:val="00834358"/>
    <w:rsid w:val="008346BD"/>
    <w:rsid w:val="00834F58"/>
    <w:rsid w:val="00835AC4"/>
    <w:rsid w:val="00835E2C"/>
    <w:rsid w:val="00836B7A"/>
    <w:rsid w:val="008409AA"/>
    <w:rsid w:val="00840E0E"/>
    <w:rsid w:val="00840FB8"/>
    <w:rsid w:val="00842819"/>
    <w:rsid w:val="00843A7A"/>
    <w:rsid w:val="008447F5"/>
    <w:rsid w:val="00846292"/>
    <w:rsid w:val="008506E1"/>
    <w:rsid w:val="008515EE"/>
    <w:rsid w:val="008528D3"/>
    <w:rsid w:val="00854553"/>
    <w:rsid w:val="008545E6"/>
    <w:rsid w:val="008551AC"/>
    <w:rsid w:val="00855B86"/>
    <w:rsid w:val="00860874"/>
    <w:rsid w:val="00862008"/>
    <w:rsid w:val="00862720"/>
    <w:rsid w:val="008628C8"/>
    <w:rsid w:val="00862B2A"/>
    <w:rsid w:val="008630B9"/>
    <w:rsid w:val="00863F37"/>
    <w:rsid w:val="0086406B"/>
    <w:rsid w:val="00864C8C"/>
    <w:rsid w:val="00864DD5"/>
    <w:rsid w:val="00867651"/>
    <w:rsid w:val="008743F3"/>
    <w:rsid w:val="0087444A"/>
    <w:rsid w:val="00875139"/>
    <w:rsid w:val="00875410"/>
    <w:rsid w:val="00876ECE"/>
    <w:rsid w:val="008824EF"/>
    <w:rsid w:val="008835F6"/>
    <w:rsid w:val="00883D4D"/>
    <w:rsid w:val="008850BA"/>
    <w:rsid w:val="00885876"/>
    <w:rsid w:val="00886185"/>
    <w:rsid w:val="008861D9"/>
    <w:rsid w:val="0088638C"/>
    <w:rsid w:val="008908E5"/>
    <w:rsid w:val="00891216"/>
    <w:rsid w:val="00894FDC"/>
    <w:rsid w:val="00897E37"/>
    <w:rsid w:val="008A16F9"/>
    <w:rsid w:val="008A1D3E"/>
    <w:rsid w:val="008A4B16"/>
    <w:rsid w:val="008A4D63"/>
    <w:rsid w:val="008A6D62"/>
    <w:rsid w:val="008A7A69"/>
    <w:rsid w:val="008B3B51"/>
    <w:rsid w:val="008B4057"/>
    <w:rsid w:val="008B4145"/>
    <w:rsid w:val="008B5290"/>
    <w:rsid w:val="008C2CFD"/>
    <w:rsid w:val="008C603A"/>
    <w:rsid w:val="008C71C8"/>
    <w:rsid w:val="008D167D"/>
    <w:rsid w:val="008D4B58"/>
    <w:rsid w:val="008D4B8A"/>
    <w:rsid w:val="008D7D7B"/>
    <w:rsid w:val="008E0F52"/>
    <w:rsid w:val="008E1DE5"/>
    <w:rsid w:val="008E2316"/>
    <w:rsid w:val="008E34BE"/>
    <w:rsid w:val="008E42F4"/>
    <w:rsid w:val="008E5657"/>
    <w:rsid w:val="008E5E51"/>
    <w:rsid w:val="008F00DB"/>
    <w:rsid w:val="008F1264"/>
    <w:rsid w:val="008F47C6"/>
    <w:rsid w:val="009006A2"/>
    <w:rsid w:val="0090102B"/>
    <w:rsid w:val="00901326"/>
    <w:rsid w:val="00901448"/>
    <w:rsid w:val="00903545"/>
    <w:rsid w:val="00905C47"/>
    <w:rsid w:val="00906379"/>
    <w:rsid w:val="009101EA"/>
    <w:rsid w:val="009106FC"/>
    <w:rsid w:val="009118BB"/>
    <w:rsid w:val="00913AC1"/>
    <w:rsid w:val="00915B81"/>
    <w:rsid w:val="00915D6B"/>
    <w:rsid w:val="009160DF"/>
    <w:rsid w:val="009162C7"/>
    <w:rsid w:val="00916EC2"/>
    <w:rsid w:val="009213BD"/>
    <w:rsid w:val="00924627"/>
    <w:rsid w:val="009250A8"/>
    <w:rsid w:val="00925BE6"/>
    <w:rsid w:val="00925F86"/>
    <w:rsid w:val="00926F61"/>
    <w:rsid w:val="00930884"/>
    <w:rsid w:val="0093123D"/>
    <w:rsid w:val="00933040"/>
    <w:rsid w:val="009330E9"/>
    <w:rsid w:val="0093500F"/>
    <w:rsid w:val="00935D15"/>
    <w:rsid w:val="009411FB"/>
    <w:rsid w:val="009414A9"/>
    <w:rsid w:val="009414D9"/>
    <w:rsid w:val="00941B71"/>
    <w:rsid w:val="009421AD"/>
    <w:rsid w:val="0094221C"/>
    <w:rsid w:val="0094409C"/>
    <w:rsid w:val="00944159"/>
    <w:rsid w:val="00944816"/>
    <w:rsid w:val="009449B2"/>
    <w:rsid w:val="00944A82"/>
    <w:rsid w:val="00946C4D"/>
    <w:rsid w:val="009476FE"/>
    <w:rsid w:val="00951C92"/>
    <w:rsid w:val="0095285B"/>
    <w:rsid w:val="00953FE9"/>
    <w:rsid w:val="0095481C"/>
    <w:rsid w:val="009551FC"/>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04E"/>
    <w:rsid w:val="00974746"/>
    <w:rsid w:val="00975119"/>
    <w:rsid w:val="00976F04"/>
    <w:rsid w:val="00976F3D"/>
    <w:rsid w:val="009777F4"/>
    <w:rsid w:val="00977AD8"/>
    <w:rsid w:val="00980A10"/>
    <w:rsid w:val="00981130"/>
    <w:rsid w:val="009821B6"/>
    <w:rsid w:val="00983D46"/>
    <w:rsid w:val="00983DCA"/>
    <w:rsid w:val="00985EF7"/>
    <w:rsid w:val="00986CF9"/>
    <w:rsid w:val="00990245"/>
    <w:rsid w:val="00990C0E"/>
    <w:rsid w:val="00990D75"/>
    <w:rsid w:val="00991093"/>
    <w:rsid w:val="0099163B"/>
    <w:rsid w:val="00992343"/>
    <w:rsid w:val="009929A3"/>
    <w:rsid w:val="0099493B"/>
    <w:rsid w:val="00996306"/>
    <w:rsid w:val="00996744"/>
    <w:rsid w:val="00997CF4"/>
    <w:rsid w:val="009A1169"/>
    <w:rsid w:val="009A3789"/>
    <w:rsid w:val="009A6919"/>
    <w:rsid w:val="009A6AC7"/>
    <w:rsid w:val="009B0408"/>
    <w:rsid w:val="009B0843"/>
    <w:rsid w:val="009B1E47"/>
    <w:rsid w:val="009B2CED"/>
    <w:rsid w:val="009B7A72"/>
    <w:rsid w:val="009B7BB8"/>
    <w:rsid w:val="009C126A"/>
    <w:rsid w:val="009C171B"/>
    <w:rsid w:val="009C1D4C"/>
    <w:rsid w:val="009C2DD2"/>
    <w:rsid w:val="009C441F"/>
    <w:rsid w:val="009C4A07"/>
    <w:rsid w:val="009C4B8E"/>
    <w:rsid w:val="009C51D5"/>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07BF"/>
    <w:rsid w:val="009F17CE"/>
    <w:rsid w:val="009F7867"/>
    <w:rsid w:val="009F7D66"/>
    <w:rsid w:val="00A00BD2"/>
    <w:rsid w:val="00A00E56"/>
    <w:rsid w:val="00A027F3"/>
    <w:rsid w:val="00A03978"/>
    <w:rsid w:val="00A07E08"/>
    <w:rsid w:val="00A1179A"/>
    <w:rsid w:val="00A12798"/>
    <w:rsid w:val="00A12B8F"/>
    <w:rsid w:val="00A142A2"/>
    <w:rsid w:val="00A153BE"/>
    <w:rsid w:val="00A15DEE"/>
    <w:rsid w:val="00A167B5"/>
    <w:rsid w:val="00A16DBE"/>
    <w:rsid w:val="00A178EA"/>
    <w:rsid w:val="00A17C4F"/>
    <w:rsid w:val="00A20A39"/>
    <w:rsid w:val="00A2352E"/>
    <w:rsid w:val="00A238BD"/>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5EF2"/>
    <w:rsid w:val="00A4791B"/>
    <w:rsid w:val="00A50A48"/>
    <w:rsid w:val="00A50A5D"/>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4692"/>
    <w:rsid w:val="00A7618B"/>
    <w:rsid w:val="00A7640B"/>
    <w:rsid w:val="00A7778B"/>
    <w:rsid w:val="00A77C29"/>
    <w:rsid w:val="00A803BC"/>
    <w:rsid w:val="00A80969"/>
    <w:rsid w:val="00A86EA7"/>
    <w:rsid w:val="00A91C7B"/>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1FE4"/>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3DE1"/>
    <w:rsid w:val="00AE79D3"/>
    <w:rsid w:val="00AF2D54"/>
    <w:rsid w:val="00AF3458"/>
    <w:rsid w:val="00AF3F7B"/>
    <w:rsid w:val="00AF42B4"/>
    <w:rsid w:val="00AF4B8A"/>
    <w:rsid w:val="00AF4F1B"/>
    <w:rsid w:val="00AF5EC6"/>
    <w:rsid w:val="00AF6E8A"/>
    <w:rsid w:val="00AF7213"/>
    <w:rsid w:val="00AF7D92"/>
    <w:rsid w:val="00B011CC"/>
    <w:rsid w:val="00B04048"/>
    <w:rsid w:val="00B04F3D"/>
    <w:rsid w:val="00B05244"/>
    <w:rsid w:val="00B05702"/>
    <w:rsid w:val="00B06C50"/>
    <w:rsid w:val="00B06DD9"/>
    <w:rsid w:val="00B07CD6"/>
    <w:rsid w:val="00B07E52"/>
    <w:rsid w:val="00B10010"/>
    <w:rsid w:val="00B11775"/>
    <w:rsid w:val="00B1302D"/>
    <w:rsid w:val="00B1513F"/>
    <w:rsid w:val="00B1746F"/>
    <w:rsid w:val="00B20725"/>
    <w:rsid w:val="00B2175F"/>
    <w:rsid w:val="00B245DA"/>
    <w:rsid w:val="00B2628E"/>
    <w:rsid w:val="00B266B0"/>
    <w:rsid w:val="00B27921"/>
    <w:rsid w:val="00B3000E"/>
    <w:rsid w:val="00B326A8"/>
    <w:rsid w:val="00B329EB"/>
    <w:rsid w:val="00B32D52"/>
    <w:rsid w:val="00B33508"/>
    <w:rsid w:val="00B3377E"/>
    <w:rsid w:val="00B34605"/>
    <w:rsid w:val="00B35DA4"/>
    <w:rsid w:val="00B36B1F"/>
    <w:rsid w:val="00B40A96"/>
    <w:rsid w:val="00B422A7"/>
    <w:rsid w:val="00B42A32"/>
    <w:rsid w:val="00B42FA6"/>
    <w:rsid w:val="00B4399E"/>
    <w:rsid w:val="00B43A16"/>
    <w:rsid w:val="00B45CE1"/>
    <w:rsid w:val="00B46A75"/>
    <w:rsid w:val="00B500CD"/>
    <w:rsid w:val="00B51709"/>
    <w:rsid w:val="00B5239C"/>
    <w:rsid w:val="00B53893"/>
    <w:rsid w:val="00B548C2"/>
    <w:rsid w:val="00B55428"/>
    <w:rsid w:val="00B570BF"/>
    <w:rsid w:val="00B63337"/>
    <w:rsid w:val="00B6369F"/>
    <w:rsid w:val="00B639D7"/>
    <w:rsid w:val="00B64898"/>
    <w:rsid w:val="00B67805"/>
    <w:rsid w:val="00B7267A"/>
    <w:rsid w:val="00B726FF"/>
    <w:rsid w:val="00B72AA4"/>
    <w:rsid w:val="00B74781"/>
    <w:rsid w:val="00B76BCD"/>
    <w:rsid w:val="00B76EE9"/>
    <w:rsid w:val="00B77880"/>
    <w:rsid w:val="00B80D90"/>
    <w:rsid w:val="00B82613"/>
    <w:rsid w:val="00B828B5"/>
    <w:rsid w:val="00B84E9C"/>
    <w:rsid w:val="00B85522"/>
    <w:rsid w:val="00B90E2A"/>
    <w:rsid w:val="00B90F2A"/>
    <w:rsid w:val="00B9198D"/>
    <w:rsid w:val="00B93008"/>
    <w:rsid w:val="00B9406D"/>
    <w:rsid w:val="00B94BA7"/>
    <w:rsid w:val="00B94E0E"/>
    <w:rsid w:val="00B97CA3"/>
    <w:rsid w:val="00BA1AB0"/>
    <w:rsid w:val="00BA76A9"/>
    <w:rsid w:val="00BB3E2B"/>
    <w:rsid w:val="00BB5D1C"/>
    <w:rsid w:val="00BB6552"/>
    <w:rsid w:val="00BB6B9B"/>
    <w:rsid w:val="00BB754F"/>
    <w:rsid w:val="00BC07D4"/>
    <w:rsid w:val="00BC0A5D"/>
    <w:rsid w:val="00BC0BE3"/>
    <w:rsid w:val="00BC1998"/>
    <w:rsid w:val="00BC1AD9"/>
    <w:rsid w:val="00BC32E7"/>
    <w:rsid w:val="00BC58B9"/>
    <w:rsid w:val="00BD3E68"/>
    <w:rsid w:val="00BD598A"/>
    <w:rsid w:val="00BD667F"/>
    <w:rsid w:val="00BD75B4"/>
    <w:rsid w:val="00BD7D14"/>
    <w:rsid w:val="00BE02B4"/>
    <w:rsid w:val="00BE5A36"/>
    <w:rsid w:val="00BE631E"/>
    <w:rsid w:val="00BF0CCF"/>
    <w:rsid w:val="00BF0FC5"/>
    <w:rsid w:val="00BF10BC"/>
    <w:rsid w:val="00BF21AC"/>
    <w:rsid w:val="00BF2E53"/>
    <w:rsid w:val="00BF3669"/>
    <w:rsid w:val="00BF3C0D"/>
    <w:rsid w:val="00C011A3"/>
    <w:rsid w:val="00C03309"/>
    <w:rsid w:val="00C072FE"/>
    <w:rsid w:val="00C12E39"/>
    <w:rsid w:val="00C136F1"/>
    <w:rsid w:val="00C14164"/>
    <w:rsid w:val="00C14851"/>
    <w:rsid w:val="00C15D8E"/>
    <w:rsid w:val="00C17012"/>
    <w:rsid w:val="00C178FB"/>
    <w:rsid w:val="00C24707"/>
    <w:rsid w:val="00C257B7"/>
    <w:rsid w:val="00C272E8"/>
    <w:rsid w:val="00C32035"/>
    <w:rsid w:val="00C33359"/>
    <w:rsid w:val="00C348D6"/>
    <w:rsid w:val="00C36E34"/>
    <w:rsid w:val="00C404EE"/>
    <w:rsid w:val="00C4061A"/>
    <w:rsid w:val="00C4171B"/>
    <w:rsid w:val="00C42689"/>
    <w:rsid w:val="00C42988"/>
    <w:rsid w:val="00C42BD4"/>
    <w:rsid w:val="00C43FF0"/>
    <w:rsid w:val="00C44641"/>
    <w:rsid w:val="00C45EF5"/>
    <w:rsid w:val="00C46B7E"/>
    <w:rsid w:val="00C50A4E"/>
    <w:rsid w:val="00C520B1"/>
    <w:rsid w:val="00C522D6"/>
    <w:rsid w:val="00C5316B"/>
    <w:rsid w:val="00C54020"/>
    <w:rsid w:val="00C545C5"/>
    <w:rsid w:val="00C54CEA"/>
    <w:rsid w:val="00C61D4B"/>
    <w:rsid w:val="00C62B0A"/>
    <w:rsid w:val="00C63F08"/>
    <w:rsid w:val="00C6528C"/>
    <w:rsid w:val="00C661E8"/>
    <w:rsid w:val="00C70084"/>
    <w:rsid w:val="00C7235B"/>
    <w:rsid w:val="00C72E18"/>
    <w:rsid w:val="00C7380B"/>
    <w:rsid w:val="00C74421"/>
    <w:rsid w:val="00C75F2F"/>
    <w:rsid w:val="00C75FEE"/>
    <w:rsid w:val="00C76F1D"/>
    <w:rsid w:val="00C77D26"/>
    <w:rsid w:val="00C82BBB"/>
    <w:rsid w:val="00C84D39"/>
    <w:rsid w:val="00C85277"/>
    <w:rsid w:val="00C85D76"/>
    <w:rsid w:val="00C87004"/>
    <w:rsid w:val="00C873AC"/>
    <w:rsid w:val="00C9106A"/>
    <w:rsid w:val="00C933E7"/>
    <w:rsid w:val="00C93462"/>
    <w:rsid w:val="00C94384"/>
    <w:rsid w:val="00C94A34"/>
    <w:rsid w:val="00C94C2B"/>
    <w:rsid w:val="00C96F79"/>
    <w:rsid w:val="00C9782E"/>
    <w:rsid w:val="00C97CF9"/>
    <w:rsid w:val="00CA17DD"/>
    <w:rsid w:val="00CA1863"/>
    <w:rsid w:val="00CA391D"/>
    <w:rsid w:val="00CA3ACD"/>
    <w:rsid w:val="00CA4F8B"/>
    <w:rsid w:val="00CA5295"/>
    <w:rsid w:val="00CB09DA"/>
    <w:rsid w:val="00CB0BD9"/>
    <w:rsid w:val="00CB19E0"/>
    <w:rsid w:val="00CB1CAC"/>
    <w:rsid w:val="00CB1DE8"/>
    <w:rsid w:val="00CB1E3B"/>
    <w:rsid w:val="00CB1F1D"/>
    <w:rsid w:val="00CB71F8"/>
    <w:rsid w:val="00CC26DB"/>
    <w:rsid w:val="00CC3DAA"/>
    <w:rsid w:val="00CC4C2C"/>
    <w:rsid w:val="00CC5057"/>
    <w:rsid w:val="00CD078F"/>
    <w:rsid w:val="00CD121E"/>
    <w:rsid w:val="00CD3ED8"/>
    <w:rsid w:val="00CD464F"/>
    <w:rsid w:val="00CD6E97"/>
    <w:rsid w:val="00CD761D"/>
    <w:rsid w:val="00CD76B5"/>
    <w:rsid w:val="00CD7E3B"/>
    <w:rsid w:val="00CE2346"/>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518B"/>
    <w:rsid w:val="00D060FF"/>
    <w:rsid w:val="00D064E8"/>
    <w:rsid w:val="00D06572"/>
    <w:rsid w:val="00D065CD"/>
    <w:rsid w:val="00D12325"/>
    <w:rsid w:val="00D14487"/>
    <w:rsid w:val="00D15E7E"/>
    <w:rsid w:val="00D20016"/>
    <w:rsid w:val="00D2279F"/>
    <w:rsid w:val="00D22AF1"/>
    <w:rsid w:val="00D22E93"/>
    <w:rsid w:val="00D242DA"/>
    <w:rsid w:val="00D25F6B"/>
    <w:rsid w:val="00D26448"/>
    <w:rsid w:val="00D264CE"/>
    <w:rsid w:val="00D26670"/>
    <w:rsid w:val="00D27B8B"/>
    <w:rsid w:val="00D31B6E"/>
    <w:rsid w:val="00D3232B"/>
    <w:rsid w:val="00D3239F"/>
    <w:rsid w:val="00D324A4"/>
    <w:rsid w:val="00D328F6"/>
    <w:rsid w:val="00D3462C"/>
    <w:rsid w:val="00D35198"/>
    <w:rsid w:val="00D3584B"/>
    <w:rsid w:val="00D36519"/>
    <w:rsid w:val="00D3688C"/>
    <w:rsid w:val="00D41072"/>
    <w:rsid w:val="00D42240"/>
    <w:rsid w:val="00D427C3"/>
    <w:rsid w:val="00D42EB8"/>
    <w:rsid w:val="00D44932"/>
    <w:rsid w:val="00D44AC4"/>
    <w:rsid w:val="00D46111"/>
    <w:rsid w:val="00D47C16"/>
    <w:rsid w:val="00D502AF"/>
    <w:rsid w:val="00D50764"/>
    <w:rsid w:val="00D50C12"/>
    <w:rsid w:val="00D51A77"/>
    <w:rsid w:val="00D52498"/>
    <w:rsid w:val="00D53830"/>
    <w:rsid w:val="00D55889"/>
    <w:rsid w:val="00D57AF0"/>
    <w:rsid w:val="00D57D27"/>
    <w:rsid w:val="00D62ECD"/>
    <w:rsid w:val="00D64426"/>
    <w:rsid w:val="00D67BC5"/>
    <w:rsid w:val="00D7021B"/>
    <w:rsid w:val="00D70D33"/>
    <w:rsid w:val="00D73077"/>
    <w:rsid w:val="00D73C57"/>
    <w:rsid w:val="00D742FF"/>
    <w:rsid w:val="00D758B3"/>
    <w:rsid w:val="00D76ADC"/>
    <w:rsid w:val="00D76D05"/>
    <w:rsid w:val="00D77413"/>
    <w:rsid w:val="00D81F10"/>
    <w:rsid w:val="00D84A57"/>
    <w:rsid w:val="00D874DF"/>
    <w:rsid w:val="00D87A12"/>
    <w:rsid w:val="00D90B29"/>
    <w:rsid w:val="00D912E2"/>
    <w:rsid w:val="00D91368"/>
    <w:rsid w:val="00D930E1"/>
    <w:rsid w:val="00D9415C"/>
    <w:rsid w:val="00D942CC"/>
    <w:rsid w:val="00D94D87"/>
    <w:rsid w:val="00D962DC"/>
    <w:rsid w:val="00DA180C"/>
    <w:rsid w:val="00DA3B87"/>
    <w:rsid w:val="00DA451D"/>
    <w:rsid w:val="00DA50BE"/>
    <w:rsid w:val="00DA56DB"/>
    <w:rsid w:val="00DA6452"/>
    <w:rsid w:val="00DA6FE9"/>
    <w:rsid w:val="00DA7925"/>
    <w:rsid w:val="00DB0AB8"/>
    <w:rsid w:val="00DB0D2A"/>
    <w:rsid w:val="00DB1DAB"/>
    <w:rsid w:val="00DB39D4"/>
    <w:rsid w:val="00DB3A47"/>
    <w:rsid w:val="00DB4E06"/>
    <w:rsid w:val="00DB6A80"/>
    <w:rsid w:val="00DB6C06"/>
    <w:rsid w:val="00DB7B06"/>
    <w:rsid w:val="00DC129F"/>
    <w:rsid w:val="00DC3A9D"/>
    <w:rsid w:val="00DC4EC1"/>
    <w:rsid w:val="00DC51EB"/>
    <w:rsid w:val="00DC6C1E"/>
    <w:rsid w:val="00DC7951"/>
    <w:rsid w:val="00DD1C4B"/>
    <w:rsid w:val="00DD1F7B"/>
    <w:rsid w:val="00DD229E"/>
    <w:rsid w:val="00DD55E0"/>
    <w:rsid w:val="00DE1904"/>
    <w:rsid w:val="00DE3DBB"/>
    <w:rsid w:val="00DE43A2"/>
    <w:rsid w:val="00DE4A74"/>
    <w:rsid w:val="00DE541C"/>
    <w:rsid w:val="00DE7256"/>
    <w:rsid w:val="00DE737B"/>
    <w:rsid w:val="00DF100B"/>
    <w:rsid w:val="00DF3F71"/>
    <w:rsid w:val="00DF4359"/>
    <w:rsid w:val="00DF6181"/>
    <w:rsid w:val="00E03A76"/>
    <w:rsid w:val="00E0576C"/>
    <w:rsid w:val="00E068BC"/>
    <w:rsid w:val="00E073F0"/>
    <w:rsid w:val="00E10761"/>
    <w:rsid w:val="00E11D7A"/>
    <w:rsid w:val="00E11EEB"/>
    <w:rsid w:val="00E128F2"/>
    <w:rsid w:val="00E16463"/>
    <w:rsid w:val="00E20B83"/>
    <w:rsid w:val="00E2128D"/>
    <w:rsid w:val="00E216BC"/>
    <w:rsid w:val="00E217B4"/>
    <w:rsid w:val="00E26727"/>
    <w:rsid w:val="00E26970"/>
    <w:rsid w:val="00E27749"/>
    <w:rsid w:val="00E27791"/>
    <w:rsid w:val="00E319DB"/>
    <w:rsid w:val="00E31AFC"/>
    <w:rsid w:val="00E3409E"/>
    <w:rsid w:val="00E34F76"/>
    <w:rsid w:val="00E37BE5"/>
    <w:rsid w:val="00E418A7"/>
    <w:rsid w:val="00E41A27"/>
    <w:rsid w:val="00E44B66"/>
    <w:rsid w:val="00E44EDD"/>
    <w:rsid w:val="00E4608B"/>
    <w:rsid w:val="00E501D3"/>
    <w:rsid w:val="00E520A7"/>
    <w:rsid w:val="00E53A01"/>
    <w:rsid w:val="00E541B0"/>
    <w:rsid w:val="00E564C4"/>
    <w:rsid w:val="00E567C9"/>
    <w:rsid w:val="00E57CC0"/>
    <w:rsid w:val="00E604C4"/>
    <w:rsid w:val="00E60809"/>
    <w:rsid w:val="00E61300"/>
    <w:rsid w:val="00E635B9"/>
    <w:rsid w:val="00E65D15"/>
    <w:rsid w:val="00E67EE5"/>
    <w:rsid w:val="00E7013A"/>
    <w:rsid w:val="00E74F5D"/>
    <w:rsid w:val="00E74F79"/>
    <w:rsid w:val="00E7602A"/>
    <w:rsid w:val="00E76034"/>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FE6"/>
    <w:rsid w:val="00EA1D43"/>
    <w:rsid w:val="00EA4EC9"/>
    <w:rsid w:val="00EA5E0F"/>
    <w:rsid w:val="00EA6FE4"/>
    <w:rsid w:val="00EA748A"/>
    <w:rsid w:val="00EA7B1F"/>
    <w:rsid w:val="00EA7F4C"/>
    <w:rsid w:val="00EB1D47"/>
    <w:rsid w:val="00EB2317"/>
    <w:rsid w:val="00EB279B"/>
    <w:rsid w:val="00EB2ABB"/>
    <w:rsid w:val="00EB5D88"/>
    <w:rsid w:val="00EB7307"/>
    <w:rsid w:val="00EC14B0"/>
    <w:rsid w:val="00EC204E"/>
    <w:rsid w:val="00EC249E"/>
    <w:rsid w:val="00EC2CFF"/>
    <w:rsid w:val="00EC405E"/>
    <w:rsid w:val="00EC5F2F"/>
    <w:rsid w:val="00EC651E"/>
    <w:rsid w:val="00EC692E"/>
    <w:rsid w:val="00EC745E"/>
    <w:rsid w:val="00EC7EAF"/>
    <w:rsid w:val="00ED27C3"/>
    <w:rsid w:val="00ED33AE"/>
    <w:rsid w:val="00ED3775"/>
    <w:rsid w:val="00ED4A6D"/>
    <w:rsid w:val="00ED6D4A"/>
    <w:rsid w:val="00ED738C"/>
    <w:rsid w:val="00ED7918"/>
    <w:rsid w:val="00ED7E6A"/>
    <w:rsid w:val="00ED7FD3"/>
    <w:rsid w:val="00EE3663"/>
    <w:rsid w:val="00EE41C4"/>
    <w:rsid w:val="00EE76A9"/>
    <w:rsid w:val="00EE799E"/>
    <w:rsid w:val="00EE7CA8"/>
    <w:rsid w:val="00EE7FA7"/>
    <w:rsid w:val="00EF1093"/>
    <w:rsid w:val="00EF1FCB"/>
    <w:rsid w:val="00EF21C3"/>
    <w:rsid w:val="00EF2211"/>
    <w:rsid w:val="00EF40B7"/>
    <w:rsid w:val="00EF492F"/>
    <w:rsid w:val="00F0030E"/>
    <w:rsid w:val="00F00CD1"/>
    <w:rsid w:val="00F01E6B"/>
    <w:rsid w:val="00F0241C"/>
    <w:rsid w:val="00F05759"/>
    <w:rsid w:val="00F10CB9"/>
    <w:rsid w:val="00F110D5"/>
    <w:rsid w:val="00F122A4"/>
    <w:rsid w:val="00F12351"/>
    <w:rsid w:val="00F1452C"/>
    <w:rsid w:val="00F16739"/>
    <w:rsid w:val="00F16DE2"/>
    <w:rsid w:val="00F2052B"/>
    <w:rsid w:val="00F20C99"/>
    <w:rsid w:val="00F2260F"/>
    <w:rsid w:val="00F242AD"/>
    <w:rsid w:val="00F247F2"/>
    <w:rsid w:val="00F265F7"/>
    <w:rsid w:val="00F27FA6"/>
    <w:rsid w:val="00F33DC8"/>
    <w:rsid w:val="00F34444"/>
    <w:rsid w:val="00F4275C"/>
    <w:rsid w:val="00F44A01"/>
    <w:rsid w:val="00F52339"/>
    <w:rsid w:val="00F5277A"/>
    <w:rsid w:val="00F532E8"/>
    <w:rsid w:val="00F537FF"/>
    <w:rsid w:val="00F55FD7"/>
    <w:rsid w:val="00F560FE"/>
    <w:rsid w:val="00F6111C"/>
    <w:rsid w:val="00F614C0"/>
    <w:rsid w:val="00F61647"/>
    <w:rsid w:val="00F647EC"/>
    <w:rsid w:val="00F64AFE"/>
    <w:rsid w:val="00F657CF"/>
    <w:rsid w:val="00F709A5"/>
    <w:rsid w:val="00F713A3"/>
    <w:rsid w:val="00F71A8F"/>
    <w:rsid w:val="00F75330"/>
    <w:rsid w:val="00F76BD9"/>
    <w:rsid w:val="00F80318"/>
    <w:rsid w:val="00F80703"/>
    <w:rsid w:val="00F80948"/>
    <w:rsid w:val="00F811DE"/>
    <w:rsid w:val="00F81387"/>
    <w:rsid w:val="00F822E3"/>
    <w:rsid w:val="00F82866"/>
    <w:rsid w:val="00F84421"/>
    <w:rsid w:val="00F8449B"/>
    <w:rsid w:val="00F85691"/>
    <w:rsid w:val="00F87094"/>
    <w:rsid w:val="00F87AB3"/>
    <w:rsid w:val="00F90A5B"/>
    <w:rsid w:val="00F913DC"/>
    <w:rsid w:val="00F91DDA"/>
    <w:rsid w:val="00F9397A"/>
    <w:rsid w:val="00F93A37"/>
    <w:rsid w:val="00F94182"/>
    <w:rsid w:val="00F944D9"/>
    <w:rsid w:val="00F94DB3"/>
    <w:rsid w:val="00F96500"/>
    <w:rsid w:val="00F96678"/>
    <w:rsid w:val="00FA1D64"/>
    <w:rsid w:val="00FA413A"/>
    <w:rsid w:val="00FA4144"/>
    <w:rsid w:val="00FA4751"/>
    <w:rsid w:val="00FA4DDF"/>
    <w:rsid w:val="00FA5E71"/>
    <w:rsid w:val="00FA6E7F"/>
    <w:rsid w:val="00FA7114"/>
    <w:rsid w:val="00FB2379"/>
    <w:rsid w:val="00FB4B8A"/>
    <w:rsid w:val="00FB5127"/>
    <w:rsid w:val="00FB5152"/>
    <w:rsid w:val="00FB680E"/>
    <w:rsid w:val="00FB6A5E"/>
    <w:rsid w:val="00FC0065"/>
    <w:rsid w:val="00FC0A07"/>
    <w:rsid w:val="00FC3AEE"/>
    <w:rsid w:val="00FC6238"/>
    <w:rsid w:val="00FD33FC"/>
    <w:rsid w:val="00FD3730"/>
    <w:rsid w:val="00FD3924"/>
    <w:rsid w:val="00FD3ADE"/>
    <w:rsid w:val="00FD3B08"/>
    <w:rsid w:val="00FD4806"/>
    <w:rsid w:val="00FD534E"/>
    <w:rsid w:val="00FD56C7"/>
    <w:rsid w:val="00FD58F4"/>
    <w:rsid w:val="00FD5CBB"/>
    <w:rsid w:val="00FD6B74"/>
    <w:rsid w:val="00FE002E"/>
    <w:rsid w:val="00FE2398"/>
    <w:rsid w:val="00FE386B"/>
    <w:rsid w:val="00FE515A"/>
    <w:rsid w:val="00FE5624"/>
    <w:rsid w:val="00FE5D2C"/>
    <w:rsid w:val="00FE5FBF"/>
    <w:rsid w:val="00FE6C25"/>
    <w:rsid w:val="00FE6DFA"/>
    <w:rsid w:val="00FF033A"/>
    <w:rsid w:val="00FF0964"/>
    <w:rsid w:val="00FF16F2"/>
    <w:rsid w:val="00FF28DF"/>
    <w:rsid w:val="00FF2B42"/>
    <w:rsid w:val="00FF3B7F"/>
    <w:rsid w:val="00FF61D9"/>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C0C26A"/>
  <w15:chartTrackingRefBased/>
  <w15:docId w15:val="{62575F6A-809A-4587-B9FB-181B4ED1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7720559">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5AIRPNAIUNRU-1830940522-1888</_dlc_DocId>
    <_dlc_DocIdUrl xmlns="71c5aaf6-e6ce-465b-b873-5148d2a4c105">
      <Url>https://nokia.sharepoint.com/sites/c5g/5gradio/_layouts/15/DocIdRedir.aspx?ID=5AIRPNAIUNRU-1830940522-1888</Url>
      <Description>5AIRPNAIUNRU-1830940522-1888</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FAD08-3718-4AB6-A172-AF769C7D9F32}">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A04D2683-3A2F-48A0-96C4-550491BF2C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AACDF9A0-D402-4B89-B704-A1AA037F1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4</Pages>
  <Words>1551</Words>
  <Characters>8847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Ranta-Aho, Karri (Nokia - FI/Espoo)</cp:lastModifiedBy>
  <cp:revision>3</cp:revision>
  <cp:lastPrinted>2016-09-26T06:54:00Z</cp:lastPrinted>
  <dcterms:created xsi:type="dcterms:W3CDTF">2017-10-01T11:46:00Z</dcterms:created>
  <dcterms:modified xsi:type="dcterms:W3CDTF">2017-10-02T15:58:00Z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64824083-0a00-4886-96b3-f3f13d0833a8</vt:lpwstr>
  </property>
</Properties>
</file>